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B94D54E"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571628" w:rsidRPr="00571628">
        <w:t>R1-1809306</w:t>
      </w:r>
    </w:p>
    <w:p w14:paraId="51C3D3E7" w14:textId="4363E2C7" w:rsidR="00E90E49" w:rsidRPr="00CE0424" w:rsidRDefault="00FE7FD8" w:rsidP="00311702">
      <w:pPr>
        <w:pStyle w:val="3GPPHeader"/>
      </w:pPr>
      <w:r>
        <w:t>Göteborg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AFB863C" w:rsidR="00E90E49" w:rsidRPr="00C41524" w:rsidRDefault="00E90E49" w:rsidP="00311702">
      <w:pPr>
        <w:pStyle w:val="3GPPHeader"/>
        <w:rPr>
          <w:sz w:val="22"/>
          <w:szCs w:val="22"/>
          <w:lang w:val="en-US"/>
        </w:rPr>
      </w:pPr>
      <w:r w:rsidRPr="00C41524">
        <w:rPr>
          <w:sz w:val="22"/>
          <w:szCs w:val="22"/>
          <w:lang w:val="en-US"/>
        </w:rPr>
        <w:t>Agenda Item:</w:t>
      </w:r>
      <w:r w:rsidRPr="00C41524">
        <w:rPr>
          <w:sz w:val="22"/>
          <w:szCs w:val="22"/>
          <w:lang w:val="en-US"/>
        </w:rPr>
        <w:tab/>
      </w:r>
      <w:r w:rsidR="009E0A2F" w:rsidRPr="00C41524">
        <w:rPr>
          <w:sz w:val="22"/>
          <w:szCs w:val="22"/>
          <w:lang w:val="en-US"/>
        </w:rPr>
        <w:t xml:space="preserve">7.2.4.1.5 </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ED0C688" w:rsidR="00E90E49" w:rsidRPr="00445F7A" w:rsidRDefault="003D3C45" w:rsidP="00311702">
      <w:pPr>
        <w:pStyle w:val="3GPPHeader"/>
        <w:rPr>
          <w:sz w:val="22"/>
          <w:szCs w:val="22"/>
        </w:rPr>
      </w:pPr>
      <w:r>
        <w:rPr>
          <w:sz w:val="22"/>
          <w:szCs w:val="22"/>
        </w:rPr>
        <w:t>Title:</w:t>
      </w:r>
      <w:r w:rsidR="00E90E49" w:rsidRPr="00CE0424">
        <w:rPr>
          <w:sz w:val="22"/>
          <w:szCs w:val="22"/>
        </w:rPr>
        <w:tab/>
      </w:r>
      <w:r w:rsidR="0055555F" w:rsidRPr="00445F7A">
        <w:rPr>
          <w:sz w:val="22"/>
          <w:szCs w:val="22"/>
        </w:rPr>
        <w:t>Considerations and Design Principles for</w:t>
      </w:r>
      <w:r w:rsidR="005C78B1">
        <w:rPr>
          <w:sz w:val="22"/>
          <w:szCs w:val="22"/>
        </w:rPr>
        <w:t xml:space="preserve"> NR</w:t>
      </w:r>
      <w:r w:rsidR="0055555F" w:rsidRPr="00445F7A">
        <w:rPr>
          <w:sz w:val="22"/>
          <w:szCs w:val="22"/>
        </w:rPr>
        <w:t xml:space="preserve"> Sidelink</w:t>
      </w:r>
    </w:p>
    <w:p w14:paraId="58D4CB54" w14:textId="77777777" w:rsidR="00E90E49" w:rsidRPr="00CE0424" w:rsidRDefault="00E90E49" w:rsidP="00D546FF">
      <w:pPr>
        <w:pStyle w:val="3GPPHeader"/>
        <w:rPr>
          <w:sz w:val="22"/>
          <w:szCs w:val="22"/>
        </w:rPr>
      </w:pPr>
      <w:r w:rsidRPr="00445F7A">
        <w:rPr>
          <w:sz w:val="22"/>
          <w:szCs w:val="22"/>
        </w:rPr>
        <w:t>Document for:</w:t>
      </w:r>
      <w:r w:rsidRPr="00445F7A">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573F9BC4" w14:textId="4416C2EA" w:rsidR="006C2978" w:rsidRDefault="005A7E76" w:rsidP="0099539F">
      <w:pPr>
        <w:pStyle w:val="BodyText"/>
      </w:pPr>
      <w:r>
        <w:t>T</w:t>
      </w:r>
      <w:r w:rsidR="00F32559">
        <w:t xml:space="preserve">he </w:t>
      </w:r>
      <w:r w:rsidR="004D2F29">
        <w:t>study item (</w:t>
      </w:r>
      <w:r w:rsidR="00F32559">
        <w:t>SI</w:t>
      </w:r>
      <w:r w:rsidR="004D2F29">
        <w:t>)</w:t>
      </w:r>
      <w:r w:rsidR="00F32559">
        <w:t xml:space="preserve"> </w:t>
      </w:r>
      <w:r w:rsidR="00245D55">
        <w:t xml:space="preserve">on NR V2X </w:t>
      </w:r>
      <w:r w:rsidR="001E18BB">
        <w:fldChar w:fldCharType="begin"/>
      </w:r>
      <w:r w:rsidR="001E18BB">
        <w:instrText xml:space="preserve"> REF _Ref517369951 \r \h </w:instrText>
      </w:r>
      <w:r w:rsidR="001E18BB">
        <w:fldChar w:fldCharType="separate"/>
      </w:r>
      <w:r w:rsidR="001E18BB">
        <w:t>[1]</w:t>
      </w:r>
      <w:r w:rsidR="001E18BB">
        <w:fldChar w:fldCharType="end"/>
      </w:r>
      <w:r>
        <w:t xml:space="preserve"> includes objectives related to </w:t>
      </w:r>
      <w:r w:rsidR="00F4200A">
        <w:t>supporting unicast, groupcast</w:t>
      </w:r>
      <w:r w:rsidR="00F622CE">
        <w:t xml:space="preserve"> and broadcast over the sidelink</w:t>
      </w:r>
      <w:r w:rsidR="004B0799">
        <w:t xml:space="preserve"> and associated physical layer procedure</w:t>
      </w:r>
      <w:r w:rsidR="00663263">
        <w:t>s,</w:t>
      </w:r>
      <w:r w:rsidR="007C29B4">
        <w:t xml:space="preserve"> resource allocation </w:t>
      </w:r>
      <w:r w:rsidR="0072070E">
        <w:t xml:space="preserve">and configuration </w:t>
      </w:r>
      <w:r w:rsidR="007C29B4">
        <w:t>mechanisms</w:t>
      </w:r>
      <w:r w:rsidR="002307DE">
        <w:t>,</w:t>
      </w:r>
      <w:r w:rsidR="00663263">
        <w:t xml:space="preserve"> and QoS management.</w:t>
      </w:r>
      <w:r w:rsidR="00937A49">
        <w:t xml:space="preserve"> </w:t>
      </w:r>
      <w:r w:rsidR="00FC3480">
        <w:t>T</w:t>
      </w:r>
      <w:r w:rsidR="00937A49">
        <w:t xml:space="preserve">he SI </w:t>
      </w:r>
      <w:r w:rsidR="00FC3480">
        <w:t>description [1] also indicates that</w:t>
      </w:r>
      <w:r w:rsidR="00A80293">
        <w:t xml:space="preserve"> advanced V2X services provided by the NR sidelink </w:t>
      </w:r>
      <w:r w:rsidR="00B47F36">
        <w:t xml:space="preserve">that coexist with V2X services </w:t>
      </w:r>
      <w:r w:rsidR="00FC3480">
        <w:t>facilitated</w:t>
      </w:r>
      <w:r w:rsidR="00B47F36">
        <w:t xml:space="preserve"> by the </w:t>
      </w:r>
      <w:r w:rsidR="00937A49">
        <w:t xml:space="preserve">LTE sidelink </w:t>
      </w:r>
      <w:r w:rsidR="000816E1">
        <w:t xml:space="preserve">are also in the scope. </w:t>
      </w:r>
      <w:r w:rsidR="007749B3">
        <w:t xml:space="preserve">Since some of these </w:t>
      </w:r>
      <w:r w:rsidR="00026D97">
        <w:t xml:space="preserve">study item objectives are different from the </w:t>
      </w:r>
      <w:r w:rsidR="00CC13E7">
        <w:t>objectives of the LTE sidelink design</w:t>
      </w:r>
      <w:r w:rsidR="00E7479C">
        <w:t xml:space="preserve">, it is useful to </w:t>
      </w:r>
      <w:r w:rsidR="00D20057">
        <w:t xml:space="preserve">discuss and agree on basic design considerations and principles for </w:t>
      </w:r>
      <w:r w:rsidR="0099539F">
        <w:t>the NR sidelink. Therefore, i</w:t>
      </w:r>
      <w:r w:rsidR="00BA765C">
        <w:t>n this document</w:t>
      </w:r>
      <w:r w:rsidR="002637F2">
        <w:t xml:space="preserve">, we </w:t>
      </w:r>
      <w:r w:rsidR="0055555F">
        <w:t xml:space="preserve">discuss some basic considerations and propose </w:t>
      </w:r>
      <w:r w:rsidR="00AB75A6">
        <w:t xml:space="preserve">radio interface </w:t>
      </w:r>
      <w:r w:rsidR="0055555F">
        <w:t xml:space="preserve">design principles for the </w:t>
      </w:r>
      <w:r w:rsidR="00325B9B">
        <w:t xml:space="preserve">NR </w:t>
      </w:r>
      <w:r w:rsidR="0055555F">
        <w:t>sidelink.</w:t>
      </w:r>
    </w:p>
    <w:p w14:paraId="020415C4" w14:textId="0E9958D6" w:rsidR="004000E8" w:rsidRPr="00CE0424" w:rsidRDefault="00230D18" w:rsidP="00CE0424">
      <w:pPr>
        <w:pStyle w:val="Heading1"/>
      </w:pPr>
      <w:bookmarkStart w:id="1" w:name="_Ref178064866"/>
      <w:r>
        <w:t>2</w:t>
      </w:r>
      <w:r>
        <w:tab/>
      </w:r>
      <w:bookmarkEnd w:id="1"/>
      <w:r w:rsidR="00F55F54">
        <w:t xml:space="preserve">Basic Considerations for </w:t>
      </w:r>
      <w:r w:rsidR="00325B9B">
        <w:t xml:space="preserve">NR </w:t>
      </w:r>
      <w:r w:rsidR="00F55F54">
        <w:t>Sidelink Design</w:t>
      </w:r>
    </w:p>
    <w:p w14:paraId="71C3A24B" w14:textId="6363D8F3" w:rsidR="00F63950" w:rsidRDefault="00230D18" w:rsidP="00F63950">
      <w:pPr>
        <w:pStyle w:val="Heading2"/>
      </w:pPr>
      <w:r>
        <w:t>2.1</w:t>
      </w:r>
      <w:r>
        <w:tab/>
      </w:r>
      <w:r w:rsidR="00F55F54">
        <w:t>Forward compatibility for advanced V2X services</w:t>
      </w:r>
    </w:p>
    <w:p w14:paraId="1EEF1B8F" w14:textId="3D1425AB" w:rsidR="003147BC" w:rsidRDefault="00A57B00" w:rsidP="00151AD4">
      <w:pPr>
        <w:pStyle w:val="BodyText"/>
        <w:rPr>
          <w:lang w:val="en-US"/>
        </w:rPr>
      </w:pPr>
      <w:r>
        <w:t xml:space="preserve">The importance of forward compatibility for the NR radio and protocol design </w:t>
      </w:r>
      <w:r w:rsidR="00D6013B">
        <w:t xml:space="preserve">was recognized </w:t>
      </w:r>
      <w:r w:rsidR="00B455DA">
        <w:t xml:space="preserve">from the beginning of </w:t>
      </w:r>
      <w:r w:rsidR="00CF1665">
        <w:t xml:space="preserve">the NR standardization work. </w:t>
      </w:r>
      <w:r w:rsidR="00606BAC">
        <w:t xml:space="preserve">Similarly to the NR Uu interface, forward compatibility is important for the NR sidelink, </w:t>
      </w:r>
      <w:r w:rsidR="006257D9">
        <w:t xml:space="preserve">as it </w:t>
      </w:r>
      <w:r w:rsidR="00555B5D">
        <w:t xml:space="preserve">will be key for phasing-in necessary </w:t>
      </w:r>
      <w:r w:rsidR="006257D9">
        <w:t xml:space="preserve">new </w:t>
      </w:r>
      <w:r w:rsidR="00555B5D">
        <w:t>features</w:t>
      </w:r>
      <w:r w:rsidR="00F736D8">
        <w:t xml:space="preserve"> </w:t>
      </w:r>
      <w:r w:rsidR="00555B5D">
        <w:t xml:space="preserve">in subsequent releases of </w:t>
      </w:r>
      <w:r w:rsidR="00F736D8">
        <w:t>V2X</w:t>
      </w:r>
      <w:r w:rsidR="00555B5D">
        <w:t xml:space="preserve"> specification</w:t>
      </w:r>
      <w:r w:rsidR="00F736D8">
        <w:t>s</w:t>
      </w:r>
      <w:r w:rsidR="00555B5D">
        <w:t xml:space="preserve">. </w:t>
      </w:r>
      <w:r w:rsidR="00991208">
        <w:t xml:space="preserve">Indeed, we expect that the requirements </w:t>
      </w:r>
      <w:r w:rsidR="00991208">
        <w:rPr>
          <w:lang w:val="en-US"/>
        </w:rPr>
        <w:t xml:space="preserve">imposed by and the technical solutions </w:t>
      </w:r>
      <w:r w:rsidR="00D90ADA">
        <w:rPr>
          <w:lang w:val="en-US"/>
        </w:rPr>
        <w:t xml:space="preserve">developed </w:t>
      </w:r>
      <w:r w:rsidR="00991208">
        <w:rPr>
          <w:lang w:val="en-US"/>
        </w:rPr>
        <w:t>for vehicles platooning, extended sensors, advanced driving and remote driving will evolve</w:t>
      </w:r>
      <w:r w:rsidR="00A45885">
        <w:rPr>
          <w:lang w:val="en-US"/>
        </w:rPr>
        <w:t xml:space="preserve"> in future releases, making forward compatibility a necessary design </w:t>
      </w:r>
      <w:r w:rsidR="008E4A60">
        <w:rPr>
          <w:lang w:val="en-US"/>
        </w:rPr>
        <w:t>consideration</w:t>
      </w:r>
      <w:r w:rsidR="008154B0">
        <w:rPr>
          <w:lang w:val="en-US"/>
        </w:rPr>
        <w:t xml:space="preserve"> for the NR sidelink.</w:t>
      </w:r>
      <w:r w:rsidR="00971638">
        <w:rPr>
          <w:lang w:val="en-US"/>
        </w:rPr>
        <w:t xml:space="preserve"> </w:t>
      </w:r>
      <w:r w:rsidR="0046312E">
        <w:rPr>
          <w:lang w:val="en-US"/>
        </w:rPr>
        <w:t>In LTE</w:t>
      </w:r>
      <w:r w:rsidR="0075172B">
        <w:rPr>
          <w:lang w:val="en-US"/>
        </w:rPr>
        <w:t xml:space="preserve">, </w:t>
      </w:r>
      <w:r w:rsidR="00890065">
        <w:rPr>
          <w:lang w:val="en-US"/>
        </w:rPr>
        <w:t xml:space="preserve">decisions made in Release 14 significantly restricted the evolution possibilities </w:t>
      </w:r>
      <w:r w:rsidR="003B5B7B">
        <w:rPr>
          <w:lang w:val="en-US"/>
        </w:rPr>
        <w:t xml:space="preserve">during Release 15, especially regarding multi-antenna support. </w:t>
      </w:r>
    </w:p>
    <w:p w14:paraId="272AEBB2" w14:textId="57927C84" w:rsidR="00D2099E" w:rsidRPr="00BC4561" w:rsidRDefault="006511EB" w:rsidP="00C41524">
      <w:pPr>
        <w:pStyle w:val="Observation"/>
      </w:pPr>
      <w:bookmarkStart w:id="2" w:name="_Toc521685483"/>
      <w:r>
        <w:t xml:space="preserve">Evolving </w:t>
      </w:r>
      <w:r w:rsidR="00E15194">
        <w:t>V</w:t>
      </w:r>
      <w:r>
        <w:t>2X use cases</w:t>
      </w:r>
      <w:r w:rsidR="00E15194">
        <w:t xml:space="preserve"> and corresponding features</w:t>
      </w:r>
      <w:r>
        <w:t xml:space="preserve"> necessitate </w:t>
      </w:r>
      <w:r w:rsidR="002B5F73">
        <w:t>the forward compatibility of NR sidelink design.</w:t>
      </w:r>
      <w:bookmarkEnd w:id="2"/>
    </w:p>
    <w:p w14:paraId="29A1CB13" w14:textId="19B47A0A" w:rsidR="006B73EA" w:rsidRDefault="006B73EA" w:rsidP="006B73EA">
      <w:pPr>
        <w:pStyle w:val="Heading2"/>
      </w:pPr>
      <w:r>
        <w:t>2.2</w:t>
      </w:r>
      <w:r>
        <w:tab/>
      </w:r>
      <w:r w:rsidR="00F55F54">
        <w:t xml:space="preserve">Reusing NR </w:t>
      </w:r>
      <w:proofErr w:type="spellStart"/>
      <w:r w:rsidR="009E5E1C">
        <w:t>Uu</w:t>
      </w:r>
      <w:proofErr w:type="spellEnd"/>
      <w:r w:rsidR="009E5E1C">
        <w:t xml:space="preserve"> </w:t>
      </w:r>
      <w:r w:rsidR="00E15194">
        <w:t xml:space="preserve">radio </w:t>
      </w:r>
      <w:r w:rsidR="00F55F54">
        <w:t>design principles</w:t>
      </w:r>
    </w:p>
    <w:p w14:paraId="5917CFA5" w14:textId="24092BA2" w:rsidR="00E63B18" w:rsidRDefault="00E63B18" w:rsidP="00E63B18">
      <w:pPr>
        <w:pStyle w:val="BodyText"/>
      </w:pPr>
      <w:r>
        <w:t>Flexibility</w:t>
      </w:r>
      <w:r w:rsidR="00F001EC">
        <w:t xml:space="preserve"> </w:t>
      </w:r>
      <w:r>
        <w:t xml:space="preserve">and </w:t>
      </w:r>
      <w:r w:rsidR="005915C3">
        <w:t>scalability</w:t>
      </w:r>
      <w:r>
        <w:t xml:space="preserve"> are important </w:t>
      </w:r>
      <w:r w:rsidR="004B64AE">
        <w:t>objectives for the</w:t>
      </w:r>
      <w:r>
        <w:t xml:space="preserve"> NR </w:t>
      </w:r>
      <w:proofErr w:type="spellStart"/>
      <w:r w:rsidR="0026084D">
        <w:t>Uu</w:t>
      </w:r>
      <w:proofErr w:type="spellEnd"/>
      <w:r w:rsidR="0026084D">
        <w:t xml:space="preserve"> </w:t>
      </w:r>
      <w:r>
        <w:t xml:space="preserve">physical layer </w:t>
      </w:r>
      <w:r w:rsidR="004B64AE">
        <w:t>design</w:t>
      </w:r>
      <w:r w:rsidR="00BB6651">
        <w:t>, including the design of the</w:t>
      </w:r>
      <w:r>
        <w:t xml:space="preserve"> modulation schemes, waveform, frame structure, reference signals, multi-antenna transmission</w:t>
      </w:r>
      <w:r w:rsidR="00BB6651">
        <w:t xml:space="preserve"> and </w:t>
      </w:r>
      <w:r>
        <w:t>channel coding</w:t>
      </w:r>
      <w:r w:rsidR="00BB6651">
        <w:t>.</w:t>
      </w:r>
      <w:r>
        <w:t xml:space="preserve"> The high level of flexibility and scalability in NR </w:t>
      </w:r>
      <w:proofErr w:type="spellStart"/>
      <w:r w:rsidR="00F00D91">
        <w:t>Uu</w:t>
      </w:r>
      <w:proofErr w:type="spellEnd"/>
      <w:r w:rsidR="00F00D91">
        <w:t xml:space="preserve"> </w:t>
      </w:r>
      <w:r w:rsidR="00BB6651">
        <w:t xml:space="preserve">are </w:t>
      </w:r>
      <w:r w:rsidR="00D7789E">
        <w:t xml:space="preserve">key </w:t>
      </w:r>
      <w:r w:rsidR="00601ACB">
        <w:t xml:space="preserve">to </w:t>
      </w:r>
      <w:r>
        <w:t>meet the requirements of diverse use cases</w:t>
      </w:r>
      <w:r w:rsidR="00D7789E">
        <w:t>.</w:t>
      </w:r>
    </w:p>
    <w:p w14:paraId="0505FBB4" w14:textId="555E1BA8" w:rsidR="00472311" w:rsidRDefault="001E5799" w:rsidP="007306C2">
      <w:pPr>
        <w:pStyle w:val="BodyText"/>
      </w:pPr>
      <w:r>
        <w:t>Similarly, c</w:t>
      </w:r>
      <w:r w:rsidR="00D7789E">
        <w:t>onsidering the diverse V2X use cases and frequency bands available for V2X services,</w:t>
      </w:r>
      <w:r w:rsidR="00E31840">
        <w:t xml:space="preserve"> t</w:t>
      </w:r>
      <w:r w:rsidR="007306C2" w:rsidRPr="007306C2">
        <w:t xml:space="preserve">he NR sidelink </w:t>
      </w:r>
      <w:r w:rsidR="007306C2">
        <w:t xml:space="preserve">design </w:t>
      </w:r>
      <w:r w:rsidR="007306C2" w:rsidRPr="007306C2">
        <w:t xml:space="preserve">can advantageously build on the NR </w:t>
      </w:r>
      <w:proofErr w:type="spellStart"/>
      <w:r w:rsidR="0026084D">
        <w:t>Uu</w:t>
      </w:r>
      <w:proofErr w:type="spellEnd"/>
      <w:r w:rsidR="0026084D">
        <w:t xml:space="preserve"> </w:t>
      </w:r>
      <w:r w:rsidR="00A040E0">
        <w:t>physical</w:t>
      </w:r>
      <w:r w:rsidR="00A040E0" w:rsidRPr="007306C2">
        <w:t xml:space="preserve"> </w:t>
      </w:r>
      <w:r w:rsidR="007306C2" w:rsidRPr="007306C2">
        <w:t>layer design principles and reuse the NR</w:t>
      </w:r>
      <w:r w:rsidR="00503361">
        <w:t xml:space="preserve"> </w:t>
      </w:r>
      <w:proofErr w:type="spellStart"/>
      <w:r w:rsidR="00503361">
        <w:t>Uu</w:t>
      </w:r>
      <w:proofErr w:type="spellEnd"/>
      <w:r w:rsidR="007306C2" w:rsidRPr="007306C2">
        <w:t xml:space="preserve"> </w:t>
      </w:r>
      <w:r w:rsidR="00A040E0">
        <w:t>physical</w:t>
      </w:r>
      <w:r w:rsidR="007306C2" w:rsidRPr="007306C2">
        <w:t xml:space="preserve"> layer design considerations, including </w:t>
      </w:r>
      <w:r w:rsidR="00A35CE5">
        <w:t>flexible (band</w:t>
      </w:r>
      <w:r w:rsidR="00424DB6">
        <w:t xml:space="preserve"> or use case</w:t>
      </w:r>
      <w:r w:rsidR="00A35CE5">
        <w:t xml:space="preserve"> specific) </w:t>
      </w:r>
      <w:r w:rsidR="007306C2" w:rsidRPr="007306C2">
        <w:t>numerology, frame structure and reference signals.</w:t>
      </w:r>
      <w:r w:rsidR="00A35CE5">
        <w:t xml:space="preserve"> </w:t>
      </w:r>
      <w:r w:rsidR="00B84A6D">
        <w:t xml:space="preserve">The </w:t>
      </w:r>
      <w:r w:rsidR="002F3775">
        <w:t>details of our proposed NR sidelink physical layer are given in our contribution [</w:t>
      </w:r>
      <w:r w:rsidR="0063431F">
        <w:t xml:space="preserve">2]. </w:t>
      </w:r>
      <w:r w:rsidR="00F65D14">
        <w:t xml:space="preserve">The NR </w:t>
      </w:r>
      <w:proofErr w:type="spellStart"/>
      <w:r w:rsidR="00503361">
        <w:t>sidelink</w:t>
      </w:r>
      <w:proofErr w:type="spellEnd"/>
      <w:r w:rsidR="00503361">
        <w:t xml:space="preserve"> </w:t>
      </w:r>
      <w:r w:rsidR="00F65D14">
        <w:t xml:space="preserve">physical layer </w:t>
      </w:r>
      <w:r w:rsidR="00503361">
        <w:t xml:space="preserve">should have </w:t>
      </w:r>
      <w:r w:rsidR="00F65D14">
        <w:t>a flexible and scalable design to support diverse use cases with extreme requirements, as well as a wide range of frequencies and deployment options.</w:t>
      </w:r>
      <w:r w:rsidR="00EF067D">
        <w:t xml:space="preserve"> </w:t>
      </w:r>
    </w:p>
    <w:p w14:paraId="0497FF0A" w14:textId="75B28F16" w:rsidR="003D6646" w:rsidRDefault="003D6646" w:rsidP="00C41524">
      <w:pPr>
        <w:pStyle w:val="Observation"/>
      </w:pPr>
      <w:bookmarkStart w:id="3" w:name="_Toc521685484"/>
      <w:r>
        <w:t xml:space="preserve">Flexible and scalable NR </w:t>
      </w:r>
      <w:r w:rsidR="003E6E9C">
        <w:t xml:space="preserve">sidelink radio design is a key to enable diverse </w:t>
      </w:r>
      <w:r w:rsidR="00834D79">
        <w:t xml:space="preserve">V2X </w:t>
      </w:r>
      <w:r w:rsidR="003E6E9C">
        <w:t>use cases.</w:t>
      </w:r>
      <w:bookmarkEnd w:id="3"/>
    </w:p>
    <w:p w14:paraId="548DCF67" w14:textId="1657D1E7" w:rsidR="002C1397" w:rsidRDefault="00303B9E" w:rsidP="002D6F6C">
      <w:pPr>
        <w:pStyle w:val="Heading2"/>
      </w:pPr>
      <w:r>
        <w:lastRenderedPageBreak/>
        <w:t>2.3</w:t>
      </w:r>
      <w:r>
        <w:tab/>
      </w:r>
      <w:r w:rsidR="002D6F6C">
        <w:t xml:space="preserve">Reuse lessons learnt from the LTE </w:t>
      </w:r>
      <w:proofErr w:type="spellStart"/>
      <w:r w:rsidR="00834D79">
        <w:t>sidelink</w:t>
      </w:r>
      <w:proofErr w:type="spellEnd"/>
      <w:r w:rsidR="00834D79">
        <w:t xml:space="preserve"> </w:t>
      </w:r>
      <w:r w:rsidR="002D6F6C">
        <w:t>design</w:t>
      </w:r>
    </w:p>
    <w:p w14:paraId="254F95AA" w14:textId="7135FDE3" w:rsidR="00CE4226" w:rsidRDefault="0027387B" w:rsidP="0001225E">
      <w:pPr>
        <w:pStyle w:val="BodyText"/>
      </w:pPr>
      <w:r>
        <w:t xml:space="preserve">The LTE sidelink is designed to </w:t>
      </w:r>
      <w:r w:rsidR="004A1AA8">
        <w:t xml:space="preserve">meet </w:t>
      </w:r>
      <w:r w:rsidR="00361A5D">
        <w:t>the requirements of the European Telecommunications Standards Institute</w:t>
      </w:r>
      <w:r w:rsidR="00D61777">
        <w:t xml:space="preserve"> (ETSI)</w:t>
      </w:r>
      <w:r w:rsidR="00361A5D">
        <w:t xml:space="preserve"> for delivering safety messages such as cooperative awareness messages </w:t>
      </w:r>
      <w:r w:rsidR="00C916A3">
        <w:t xml:space="preserve">(CAM) </w:t>
      </w:r>
      <w:r w:rsidR="00361A5D">
        <w:t>and decentralized environmental notification messages</w:t>
      </w:r>
      <w:r w:rsidR="00C916A3">
        <w:t xml:space="preserve"> (DENM)</w:t>
      </w:r>
      <w:r w:rsidR="004A1AA8">
        <w:t xml:space="preserve">. </w:t>
      </w:r>
      <w:r w:rsidR="00006A94">
        <w:t>In</w:t>
      </w:r>
      <w:r w:rsidR="00CE4226">
        <w:t xml:space="preserve"> Rel-15</w:t>
      </w:r>
      <w:r w:rsidR="00006A94">
        <w:t>, a</w:t>
      </w:r>
      <w:r w:rsidR="00CE4226">
        <w:t xml:space="preserve"> key requirement on the enhanced technology enablers was to preserve backward compatibility with Rel-14 V2X for the delivery of CAM/DENM safety messages.</w:t>
      </w:r>
      <w:r w:rsidR="00C0296A">
        <w:t xml:space="preserve"> For the delivery of </w:t>
      </w:r>
      <w:r w:rsidR="001A7399">
        <w:t>the basic safety messages using physical layer broadcast mechanisms</w:t>
      </w:r>
      <w:r w:rsidR="00331BCD">
        <w:t xml:space="preserve">, especially at the lower frequency bands, the </w:t>
      </w:r>
      <w:r w:rsidR="004354A7">
        <w:t xml:space="preserve">LTE </w:t>
      </w:r>
      <w:r w:rsidR="00331BCD">
        <w:t xml:space="preserve">design considerations </w:t>
      </w:r>
      <w:r w:rsidR="00D25EEB">
        <w:t xml:space="preserve">concerning resource </w:t>
      </w:r>
      <w:r w:rsidR="003607DA">
        <w:t>pool manageme</w:t>
      </w:r>
      <w:r w:rsidR="00BA236C">
        <w:t>nt</w:t>
      </w:r>
      <w:r w:rsidR="00D25EEB">
        <w:t xml:space="preserve">, </w:t>
      </w:r>
      <w:r w:rsidR="003607DA">
        <w:t xml:space="preserve">transmit parameter configurations </w:t>
      </w:r>
      <w:r w:rsidR="002E6E8F">
        <w:t xml:space="preserve">and other aspects should be </w:t>
      </w:r>
      <w:r w:rsidR="00B33B27">
        <w:t>reused as much as possible for the NR sidelink design</w:t>
      </w:r>
      <w:r w:rsidR="004354A7">
        <w:t xml:space="preserve"> and changes in NR</w:t>
      </w:r>
      <w:r w:rsidR="00FE528D">
        <w:t xml:space="preserve"> </w:t>
      </w:r>
      <w:proofErr w:type="spellStart"/>
      <w:r w:rsidR="00FE528D">
        <w:t>sidelink</w:t>
      </w:r>
      <w:proofErr w:type="spellEnd"/>
      <w:r w:rsidR="004354A7">
        <w:t xml:space="preserve"> are made if justified and motivated by the need of it</w:t>
      </w:r>
      <w:r w:rsidR="00B33B27">
        <w:t>.</w:t>
      </w:r>
    </w:p>
    <w:p w14:paraId="36C0B115" w14:textId="3AE4AF35" w:rsidR="00FE528D" w:rsidRDefault="001E31F1" w:rsidP="00C41524">
      <w:pPr>
        <w:pStyle w:val="Observation"/>
      </w:pPr>
      <w:bookmarkStart w:id="4" w:name="_Toc521685485"/>
      <w:r>
        <w:t xml:space="preserve">Lessons learnt during LTE </w:t>
      </w:r>
      <w:r w:rsidR="00F8580D">
        <w:t>Rel-14/15</w:t>
      </w:r>
      <w:r>
        <w:t xml:space="preserve"> are </w:t>
      </w:r>
      <w:r w:rsidR="00A47B97">
        <w:t xml:space="preserve">important to justify NR sidelink </w:t>
      </w:r>
      <w:r w:rsidR="00F8580D">
        <w:t>design.</w:t>
      </w:r>
      <w:bookmarkEnd w:id="4"/>
    </w:p>
    <w:p w14:paraId="2FD91379" w14:textId="421C448A" w:rsidR="008751ED" w:rsidRDefault="008751ED" w:rsidP="008751ED">
      <w:pPr>
        <w:pStyle w:val="Heading2"/>
      </w:pPr>
      <w:r>
        <w:t>2.</w:t>
      </w:r>
      <w:r w:rsidR="00B91820">
        <w:t>4</w:t>
      </w:r>
      <w:r>
        <w:tab/>
      </w:r>
      <w:r w:rsidR="00F55F54">
        <w:t>Minimizing always</w:t>
      </w:r>
      <w:r w:rsidR="000E1369">
        <w:t>-</w:t>
      </w:r>
      <w:r w:rsidR="00F55F54">
        <w:t xml:space="preserve">on transmissions and using the principles of NR </w:t>
      </w:r>
      <w:r w:rsidR="007465D1">
        <w:t>ultra-</w:t>
      </w:r>
      <w:r w:rsidR="00F55F54">
        <w:t>lean design</w:t>
      </w:r>
    </w:p>
    <w:p w14:paraId="21A436FA" w14:textId="36E57683" w:rsidR="00BC4561" w:rsidRDefault="00F01C00" w:rsidP="00CA6FC1">
      <w:pPr>
        <w:pStyle w:val="BodyText"/>
      </w:pPr>
      <w:r>
        <w:t xml:space="preserve">NR has an ultra-lean design that minimizes always-on transmissions to enhance </w:t>
      </w:r>
      <w:r w:rsidR="00A16207">
        <w:t xml:space="preserve">spectral and </w:t>
      </w:r>
      <w:r>
        <w:t>energy efficiency</w:t>
      </w:r>
      <w:r w:rsidR="00F8580D">
        <w:t>,</w:t>
      </w:r>
      <w:r>
        <w:t xml:space="preserve"> and </w:t>
      </w:r>
      <w:r w:rsidR="00A16207">
        <w:t xml:space="preserve">to </w:t>
      </w:r>
      <w:r>
        <w:t xml:space="preserve">ensure forward compatibility. </w:t>
      </w:r>
      <w:r w:rsidR="00E20D59">
        <w:t xml:space="preserve">This is to some extent different from </w:t>
      </w:r>
      <w:r>
        <w:t xml:space="preserve">the setup in LTE, </w:t>
      </w:r>
      <w:r w:rsidR="00625153">
        <w:t xml:space="preserve">since in NR </w:t>
      </w:r>
      <w:r>
        <w:t xml:space="preserve">the reference signals </w:t>
      </w:r>
      <w:r w:rsidR="00625153">
        <w:t>(including DMRS, PTRS</w:t>
      </w:r>
      <w:r w:rsidR="00274144">
        <w:t xml:space="preserve">, CSI-RS) </w:t>
      </w:r>
      <w:r>
        <w:t xml:space="preserve">are transmitted only when necessary. </w:t>
      </w:r>
      <w:r w:rsidR="00274144">
        <w:t xml:space="preserve">This design </w:t>
      </w:r>
      <w:r w:rsidR="00EB0516">
        <w:t>objecti</w:t>
      </w:r>
      <w:r w:rsidR="00CA6FC1">
        <w:t>ve</w:t>
      </w:r>
      <w:r w:rsidR="00274144">
        <w:t xml:space="preserve"> should be adopted by the NR sidelink as well, since spectral</w:t>
      </w:r>
      <w:r w:rsidR="000B11AA">
        <w:t xml:space="preserve"> efficiency, energy efficiency as well as minimizing interference </w:t>
      </w:r>
      <w:r w:rsidR="0094372C">
        <w:t>are important in several advanced V2X use cases as well.</w:t>
      </w:r>
    </w:p>
    <w:p w14:paraId="1C004A72" w14:textId="5AD47597" w:rsidR="006E1CD1" w:rsidRPr="003D0ECE" w:rsidRDefault="00204F12" w:rsidP="00C41524">
      <w:pPr>
        <w:pStyle w:val="Observation"/>
      </w:pPr>
      <w:bookmarkStart w:id="5" w:name="_Toc521685486"/>
      <w:r>
        <w:t>NR ultra-lean design principle is also important for sidelin</w:t>
      </w:r>
      <w:r w:rsidR="00362329">
        <w:t>k.</w:t>
      </w:r>
      <w:bookmarkEnd w:id="5"/>
    </w:p>
    <w:p w14:paraId="72116F35" w14:textId="30BE327E" w:rsidR="00892319" w:rsidRPr="008E07C1" w:rsidRDefault="00892319" w:rsidP="00892319">
      <w:pPr>
        <w:pStyle w:val="Heading1"/>
      </w:pPr>
      <w:r>
        <w:t>3</w:t>
      </w:r>
      <w:r>
        <w:tab/>
      </w:r>
      <w:r w:rsidR="003147BC">
        <w:t xml:space="preserve">Design Principles for </w:t>
      </w:r>
      <w:r w:rsidR="00CC62FD">
        <w:t xml:space="preserve">NR </w:t>
      </w:r>
      <w:r w:rsidR="003147BC">
        <w:t>Sidelink</w:t>
      </w:r>
    </w:p>
    <w:p w14:paraId="0CF7C761" w14:textId="692A0C33" w:rsidR="008E0A05" w:rsidRDefault="00CA62D6" w:rsidP="006336A5">
      <w:pPr>
        <w:pStyle w:val="BodyText"/>
      </w:pPr>
      <w:r>
        <w:t xml:space="preserve">The LTE </w:t>
      </w:r>
      <w:r w:rsidR="008B2CE2">
        <w:t xml:space="preserve">and NR Uu interfaces are designed on </w:t>
      </w:r>
      <w:r w:rsidR="00D27262">
        <w:t>the basic premise of the eNB</w:t>
      </w:r>
      <w:r w:rsidR="004D2F29">
        <w:t>/gNB</w:t>
      </w:r>
      <w:r w:rsidR="00D27262">
        <w:t xml:space="preserve"> owning the resources licensed to </w:t>
      </w:r>
      <w:r w:rsidR="006336A5">
        <w:t xml:space="preserve">cellular services. According to </w:t>
      </w:r>
      <w:r w:rsidR="00A16255">
        <w:t>SI description [1], the NR sidelink may operate in licensed spectrum</w:t>
      </w:r>
      <w:r w:rsidR="00001DA6">
        <w:t xml:space="preserve">, for which the following design principle needs to be </w:t>
      </w:r>
      <w:r w:rsidR="006D1CA6">
        <w:t>agreed. When the sidelink uses licensed spectrum resources</w:t>
      </w:r>
      <w:r w:rsidR="00FC7363">
        <w:t xml:space="preserve">, the RAN </w:t>
      </w:r>
      <w:r w:rsidR="00C27468">
        <w:t xml:space="preserve">– as the owner of all radio resources </w:t>
      </w:r>
      <w:r w:rsidR="00FC1CD2">
        <w:t>–</w:t>
      </w:r>
      <w:r w:rsidR="00C27468">
        <w:t xml:space="preserve"> </w:t>
      </w:r>
      <w:r w:rsidR="00FC1CD2">
        <w:t xml:space="preserve">exercises full control over the allocation and use of those resources. </w:t>
      </w:r>
      <w:r w:rsidR="00110956">
        <w:t xml:space="preserve">However, the RAN may decide to give </w:t>
      </w:r>
      <w:r w:rsidR="008733BF">
        <w:t xml:space="preserve">permission to use some of the radio resources for sidelink communication </w:t>
      </w:r>
      <w:r w:rsidR="005C6375">
        <w:t xml:space="preserve">conditioned on </w:t>
      </w:r>
      <w:r w:rsidR="00B95173">
        <w:t>using RAN-defined transmission parameters on the sidelink.</w:t>
      </w:r>
      <w:r w:rsidR="00A92963">
        <w:t xml:space="preserve"> For example, the RAN may allow a subset of UEs </w:t>
      </w:r>
      <w:r w:rsidR="003C16A8">
        <w:t xml:space="preserve">or a specific UE pair to use certain physical resource blocks </w:t>
      </w:r>
      <w:r w:rsidR="0069438B">
        <w:t xml:space="preserve">during some </w:t>
      </w:r>
      <w:proofErr w:type="gramStart"/>
      <w:r w:rsidR="0069438B">
        <w:t>time period</w:t>
      </w:r>
      <w:proofErr w:type="gramEnd"/>
      <w:r w:rsidR="0069438B">
        <w:t xml:space="preserve"> with a maximum transmit power. </w:t>
      </w:r>
    </w:p>
    <w:p w14:paraId="3457BDE1" w14:textId="0DC11295" w:rsidR="008E0A05" w:rsidRPr="008E0A05" w:rsidRDefault="008E0A05" w:rsidP="00C41524">
      <w:pPr>
        <w:pStyle w:val="Proposal"/>
      </w:pPr>
      <w:bookmarkStart w:id="6" w:name="_Toc521685526"/>
      <w:r>
        <w:t xml:space="preserve">When the NR sidelink uses </w:t>
      </w:r>
      <w:r w:rsidR="0004558A">
        <w:t xml:space="preserve">licensed spectrum resources, the RAN </w:t>
      </w:r>
      <w:r w:rsidR="001C6854">
        <w:t>decides on the conditions under which such resources may be used</w:t>
      </w:r>
      <w:r w:rsidR="00C61949">
        <w:t>. Such conditions can include transmission parameters</w:t>
      </w:r>
      <w:r w:rsidR="00402C96">
        <w:t>, resource pool and time period during which the resources may be used for sidelink communication.</w:t>
      </w:r>
      <w:bookmarkEnd w:id="6"/>
    </w:p>
    <w:p w14:paraId="354D1373" w14:textId="6FE0B8EA" w:rsidR="00CC62FD" w:rsidRDefault="009A55B5" w:rsidP="00874636">
      <w:pPr>
        <w:pStyle w:val="BodyText"/>
      </w:pPr>
      <w:r w:rsidRPr="00874636">
        <w:t xml:space="preserve">For </w:t>
      </w:r>
      <w:r w:rsidR="00A93788" w:rsidRPr="00874636">
        <w:t xml:space="preserve">the </w:t>
      </w:r>
      <w:r w:rsidRPr="00874636">
        <w:t xml:space="preserve">LTE and NR Uu </w:t>
      </w:r>
      <w:r w:rsidR="00A93788" w:rsidRPr="00874636">
        <w:t xml:space="preserve">interface, </w:t>
      </w:r>
      <w:r w:rsidR="000122A3" w:rsidRPr="00874636">
        <w:t xml:space="preserve">resource ownership </w:t>
      </w:r>
      <w:r w:rsidR="007420A3" w:rsidRPr="00874636">
        <w:t xml:space="preserve">defines a </w:t>
      </w:r>
      <w:r w:rsidR="00874636" w:rsidRPr="00874636">
        <w:t xml:space="preserve">framework for </w:t>
      </w:r>
      <w:r w:rsidR="00071168">
        <w:t xml:space="preserve">uplink and downlink scheduling. </w:t>
      </w:r>
      <w:r w:rsidR="00586345">
        <w:t xml:space="preserve">This framework needs to be extended for the </w:t>
      </w:r>
      <w:r w:rsidR="00181FCE">
        <w:t xml:space="preserve">NR </w:t>
      </w:r>
      <w:r w:rsidR="00586345">
        <w:t xml:space="preserve">sidelink, that can operate in </w:t>
      </w:r>
      <w:r w:rsidR="00181FCE">
        <w:t xml:space="preserve">both </w:t>
      </w:r>
      <w:r w:rsidR="0016401F">
        <w:t xml:space="preserve">licensed and unlicensed spectrum resources. </w:t>
      </w:r>
      <w:r w:rsidR="00BF2EFA">
        <w:t xml:space="preserve">Specifically, </w:t>
      </w:r>
      <w:r w:rsidR="00B75527">
        <w:t>similarly to the LTE sidelink design, it remains important that a UE ca</w:t>
      </w:r>
      <w:r w:rsidR="00F505D4">
        <w:t xml:space="preserve">nnot </w:t>
      </w:r>
      <w:r w:rsidR="00961B7E">
        <w:t>control</w:t>
      </w:r>
      <w:r w:rsidR="00F505D4">
        <w:t xml:space="preserve"> another UE. </w:t>
      </w:r>
    </w:p>
    <w:p w14:paraId="7B262C5A" w14:textId="1D93841B" w:rsidR="00F72E33" w:rsidRDefault="00961B7E" w:rsidP="00C41524">
      <w:pPr>
        <w:pStyle w:val="Proposal"/>
      </w:pPr>
      <w:bookmarkStart w:id="7" w:name="_Toc521685527"/>
      <w:r>
        <w:t xml:space="preserve">Adopt a design principle according to which </w:t>
      </w:r>
      <w:r w:rsidRPr="00F72E33">
        <w:t>a UE cannot control another UE in the same way as a gNB controls a UE. However, a UE can expect certain behavio</w:t>
      </w:r>
      <w:r w:rsidR="00F53922">
        <w:t>u</w:t>
      </w:r>
      <w:r w:rsidRPr="00F72E33">
        <w:t xml:space="preserve">r </w:t>
      </w:r>
      <w:r w:rsidR="00987E3F">
        <w:t>(and indicate</w:t>
      </w:r>
      <w:r w:rsidR="001C73D9">
        <w:t xml:space="preserve"> such expectation) </w:t>
      </w:r>
      <w:r w:rsidR="00F53922">
        <w:t xml:space="preserve">over the sidelink </w:t>
      </w:r>
      <w:r w:rsidRPr="00F72E33">
        <w:t>from the peer UE</w:t>
      </w:r>
      <w:r w:rsidR="008A3F42">
        <w:t>, especially in case of unicast transmissions</w:t>
      </w:r>
      <w:r w:rsidRPr="00F72E33">
        <w:t>.</w:t>
      </w:r>
      <w:bookmarkEnd w:id="7"/>
    </w:p>
    <w:p w14:paraId="42496CA2" w14:textId="2363064D" w:rsidR="007C53BA" w:rsidRDefault="00ED39EE" w:rsidP="007C53BA">
      <w:pPr>
        <w:pStyle w:val="BodyText"/>
      </w:pPr>
      <w:r>
        <w:t xml:space="preserve">This proposed design principle implies that </w:t>
      </w:r>
      <w:r w:rsidR="007C53BA">
        <w:t>establishing hierarchies between UEs</w:t>
      </w:r>
      <w:r>
        <w:t xml:space="preserve"> is not supported.</w:t>
      </w:r>
      <w:r w:rsidR="00D67FEC">
        <w:t xml:space="preserve"> Instead, the NR RAN preserves exclusive right to control UEs in terms of </w:t>
      </w:r>
      <w:r w:rsidR="00FE5257">
        <w:t xml:space="preserve">using radio </w:t>
      </w:r>
      <w:r w:rsidR="0022371F">
        <w:t>resources and</w:t>
      </w:r>
      <w:r w:rsidR="00FE5257">
        <w:t xml:space="preserve"> transmitting </w:t>
      </w:r>
      <w:r w:rsidR="00F65599">
        <w:t xml:space="preserve">messages and signals over the sidelink. </w:t>
      </w:r>
      <w:r w:rsidR="0022371F">
        <w:t xml:space="preserve">However, a UE </w:t>
      </w:r>
      <w:r w:rsidR="009F2CC7">
        <w:t xml:space="preserve">can </w:t>
      </w:r>
      <w:r w:rsidR="0009487E" w:rsidRPr="00C41524">
        <w:t>expect</w:t>
      </w:r>
      <w:r w:rsidR="009F2CC7">
        <w:t xml:space="preserve"> a certain behaviour of peer UE. </w:t>
      </w:r>
      <w:r w:rsidR="00F3595F">
        <w:t xml:space="preserve">An application of </w:t>
      </w:r>
      <w:r w:rsidR="009F2CC7">
        <w:t>which</w:t>
      </w:r>
      <w:r w:rsidR="00F3595F">
        <w:t xml:space="preserve"> can be, for example, a HARQ loop over the NR sidelink for unicast transmissions, for which a UE can expect (and indicate this expectation to) a peer UE to send HARQ messages (ACK/NACK) in a certain symbol/slot.</w:t>
      </w:r>
    </w:p>
    <w:p w14:paraId="2F0B289B" w14:textId="43540454" w:rsidR="00AB5023" w:rsidRDefault="00B127CA" w:rsidP="007C53BA">
      <w:pPr>
        <w:pStyle w:val="BodyText"/>
      </w:pPr>
      <w:r>
        <w:t xml:space="preserve">Since the SI includes mechanisms for both unicast and broadcast physical layer transmissions, it is important to </w:t>
      </w:r>
      <w:r w:rsidR="001C73D9">
        <w:t xml:space="preserve">handle </w:t>
      </w:r>
      <w:r>
        <w:t>the</w:t>
      </w:r>
      <w:r w:rsidR="007224ED">
        <w:t xml:space="preserve"> coexistence of such transmissions.</w:t>
      </w:r>
      <w:r w:rsidR="00694639">
        <w:t xml:space="preserve"> </w:t>
      </w:r>
      <w:r w:rsidR="00B5355D">
        <w:t xml:space="preserve">Therefore, </w:t>
      </w:r>
      <w:r w:rsidR="00694639">
        <w:t xml:space="preserve">we propose </w:t>
      </w:r>
      <w:r w:rsidR="005252D8">
        <w:t xml:space="preserve">to design the radio resource management procedures such that it allow </w:t>
      </w:r>
      <w:r w:rsidR="00B5355D">
        <w:t xml:space="preserve">such coexistence of different communication types. </w:t>
      </w:r>
    </w:p>
    <w:p w14:paraId="7F765C6A" w14:textId="59EA8F40" w:rsidR="004A514D" w:rsidRPr="00C41524" w:rsidRDefault="0053398E" w:rsidP="00C41524">
      <w:pPr>
        <w:pStyle w:val="Proposal"/>
      </w:pPr>
      <w:bookmarkStart w:id="8" w:name="_Toc521685528"/>
      <w:r>
        <w:t xml:space="preserve">Coexistence of </w:t>
      </w:r>
      <w:r w:rsidRPr="00C41524">
        <w:rPr>
          <w:lang w:val="en-US"/>
        </w:rPr>
        <w:t>u</w:t>
      </w:r>
      <w:r w:rsidR="004A514D" w:rsidRPr="00C41524">
        <w:rPr>
          <w:lang w:val="en-US"/>
        </w:rPr>
        <w:t>nicast</w:t>
      </w:r>
      <w:r w:rsidR="005D099F" w:rsidRPr="00C41524">
        <w:rPr>
          <w:lang w:val="en-US"/>
        </w:rPr>
        <w:t>, groupcast</w:t>
      </w:r>
      <w:r w:rsidR="004A514D" w:rsidRPr="00C41524">
        <w:rPr>
          <w:lang w:val="en-US"/>
        </w:rPr>
        <w:t xml:space="preserve"> and broadcast transmissions </w:t>
      </w:r>
      <w:r w:rsidRPr="00C41524">
        <w:rPr>
          <w:lang w:val="en-US"/>
        </w:rPr>
        <w:t>are considered.</w:t>
      </w:r>
      <w:bookmarkEnd w:id="8"/>
    </w:p>
    <w:p w14:paraId="576A5F60" w14:textId="0D95500F" w:rsidR="003147BC" w:rsidRPr="00AE6068" w:rsidRDefault="00C460DC" w:rsidP="00AE6068">
      <w:pPr>
        <w:pStyle w:val="BodyText"/>
      </w:pPr>
      <w:r>
        <w:lastRenderedPageBreak/>
        <w:t xml:space="preserve">Note that </w:t>
      </w:r>
      <w:r w:rsidR="004D28AB">
        <w:t xml:space="preserve">the design principle according </w:t>
      </w:r>
      <w:r w:rsidR="00467856">
        <w:t xml:space="preserve">to </w:t>
      </w:r>
      <w:r w:rsidR="004D28AB">
        <w:t>Proposal 3 does not enforce that unicast</w:t>
      </w:r>
      <w:r w:rsidR="005D099F">
        <w:t>, groupcast</w:t>
      </w:r>
      <w:r w:rsidR="004D28AB">
        <w:t xml:space="preserve"> and broadcast</w:t>
      </w:r>
      <w:r w:rsidR="005D099F">
        <w:t xml:space="preserve"> transmissions use </w:t>
      </w:r>
      <w:r w:rsidR="009A5C3F">
        <w:t xml:space="preserve">the same radio resources. </w:t>
      </w:r>
      <w:r w:rsidR="00002EF5">
        <w:t xml:space="preserve">In fact, combining the design principles of Proposals 1 and 3 </w:t>
      </w:r>
      <w:r w:rsidR="00B72DEA">
        <w:t>imply that the RAN decides which resources</w:t>
      </w:r>
      <w:r w:rsidR="00A364CC">
        <w:t xml:space="preserve"> or</w:t>
      </w:r>
      <w:r w:rsidR="00B72DEA">
        <w:t xml:space="preserve"> resource pools may be used by </w:t>
      </w:r>
      <w:r w:rsidR="00A44E57">
        <w:t xml:space="preserve">any form of sidelink transmissions. </w:t>
      </w:r>
    </w:p>
    <w:p w14:paraId="1863CD82" w14:textId="50172AFB" w:rsidR="00E43FCB" w:rsidRDefault="00892319" w:rsidP="00E43FCB">
      <w:pPr>
        <w:pStyle w:val="Heading1"/>
      </w:pPr>
      <w:r>
        <w:t>4</w:t>
      </w:r>
      <w:r w:rsidR="00E43FCB">
        <w:tab/>
      </w:r>
      <w:r w:rsidR="003147BC">
        <w:t xml:space="preserve">Implications of the </w:t>
      </w:r>
      <w:r w:rsidR="00BD5D3B">
        <w:t>B</w:t>
      </w:r>
      <w:r w:rsidR="003147BC">
        <w:t xml:space="preserve">asic </w:t>
      </w:r>
      <w:r w:rsidR="00BD5D3B">
        <w:t>C</w:t>
      </w:r>
      <w:r w:rsidR="003147BC">
        <w:t xml:space="preserve">onsiderations and </w:t>
      </w:r>
      <w:r w:rsidR="00BD5D3B">
        <w:t>D</w:t>
      </w:r>
      <w:r w:rsidR="003147BC">
        <w:t xml:space="preserve">esign </w:t>
      </w:r>
      <w:r w:rsidR="00BD5D3B">
        <w:t>P</w:t>
      </w:r>
      <w:r w:rsidR="003147BC">
        <w:t>rinciples</w:t>
      </w:r>
    </w:p>
    <w:p w14:paraId="75165D68" w14:textId="23D8B9D9" w:rsidR="00F1742C" w:rsidRDefault="006B52F1" w:rsidP="00114D63">
      <w:pPr>
        <w:pStyle w:val="BodyText"/>
      </w:pPr>
      <w:r>
        <w:t>The design principles prop</w:t>
      </w:r>
      <w:r w:rsidR="00A6634F">
        <w:t>o</w:t>
      </w:r>
      <w:r>
        <w:t xml:space="preserve">sed in Section 3 are </w:t>
      </w:r>
      <w:r w:rsidR="00904C20">
        <w:t xml:space="preserve">generic in the sense that they can and should be applied to all </w:t>
      </w:r>
      <w:r w:rsidR="00092FC3">
        <w:t xml:space="preserve">radio </w:t>
      </w:r>
      <w:r w:rsidR="00904C20">
        <w:t>layer</w:t>
      </w:r>
      <w:r w:rsidR="00092FC3">
        <w:t>s</w:t>
      </w:r>
      <w:r w:rsidR="00904C20">
        <w:t xml:space="preserve"> procedures of the NR sidelink. </w:t>
      </w:r>
      <w:r w:rsidR="000A5952">
        <w:t>To further clarify these proposals, s</w:t>
      </w:r>
      <w:r w:rsidR="004055DD">
        <w:t xml:space="preserve">ome examples of the implications of </w:t>
      </w:r>
      <w:r w:rsidR="000A5952">
        <w:t>these</w:t>
      </w:r>
      <w:r w:rsidR="004055DD">
        <w:t xml:space="preserve"> design principles </w:t>
      </w:r>
      <w:r w:rsidR="00643CCB">
        <w:t>are given below</w:t>
      </w:r>
      <w:r w:rsidR="000A5952">
        <w:t>.</w:t>
      </w:r>
      <w:r w:rsidR="00F1742C">
        <w:t xml:space="preserve"> </w:t>
      </w:r>
    </w:p>
    <w:p w14:paraId="6C2A9410" w14:textId="4C5E8B6E" w:rsidR="00114D63" w:rsidRDefault="00294F99" w:rsidP="00114D63">
      <w:pPr>
        <w:pStyle w:val="BodyText"/>
      </w:pPr>
      <w:r>
        <w:t xml:space="preserve">According to </w:t>
      </w:r>
      <w:r w:rsidR="00342231">
        <w:t xml:space="preserve">principle </w:t>
      </w:r>
      <w:r>
        <w:t xml:space="preserve">1 as proposed above, </w:t>
      </w:r>
      <w:r w:rsidR="00B16860">
        <w:t>the t</w:t>
      </w:r>
      <w:r w:rsidR="00114D63">
        <w:t xml:space="preserve">ransmission (TX) parameters </w:t>
      </w:r>
      <w:r w:rsidR="002F3063">
        <w:t xml:space="preserve">over the NR sidelink </w:t>
      </w:r>
      <w:r w:rsidR="00114D63">
        <w:t>such as modulation and coding schemes, TX power, precoder matrix for multiple antenna transmissions, etc</w:t>
      </w:r>
      <w:r w:rsidR="00B16860">
        <w:t>,</w:t>
      </w:r>
      <w:r w:rsidR="00114D63">
        <w:t xml:space="preserve"> can be selected either by the network or </w:t>
      </w:r>
      <w:r w:rsidR="002F3063">
        <w:t xml:space="preserve">by the </w:t>
      </w:r>
      <w:r w:rsidR="00114D63">
        <w:t xml:space="preserve">UE or both. In this regard, </w:t>
      </w:r>
      <w:r w:rsidR="002F3063">
        <w:t xml:space="preserve">this design principle </w:t>
      </w:r>
      <w:r w:rsidR="00F4350E">
        <w:t>facilitates</w:t>
      </w:r>
      <w:r w:rsidR="00114D63">
        <w:t xml:space="preserve"> the following options</w:t>
      </w:r>
      <w:r w:rsidR="001215CF">
        <w:t xml:space="preserve"> of network control</w:t>
      </w:r>
      <w:r w:rsidR="00114D63">
        <w:t>:</w:t>
      </w:r>
    </w:p>
    <w:p w14:paraId="387F0CA5" w14:textId="19588788" w:rsidR="00114D63" w:rsidRDefault="00114D63" w:rsidP="00114D63">
      <w:pPr>
        <w:pStyle w:val="BodyText"/>
        <w:keepLines/>
        <w:numPr>
          <w:ilvl w:val="0"/>
          <w:numId w:val="34"/>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ind w:left="720"/>
        <w:textAlignment w:val="auto"/>
      </w:pPr>
      <w:r>
        <w:t xml:space="preserve">All TX parameters are selected by the </w:t>
      </w:r>
      <w:r w:rsidR="00E1492C">
        <w:t xml:space="preserve">network </w:t>
      </w:r>
      <w:r>
        <w:t>either</w:t>
      </w:r>
      <w:r w:rsidR="00F4350E">
        <w:t xml:space="preserve"> as a</w:t>
      </w:r>
      <w:r>
        <w:t xml:space="preserve"> fixed value or </w:t>
      </w:r>
      <w:r w:rsidR="00CF650C">
        <w:t xml:space="preserve">a </w:t>
      </w:r>
      <w:r>
        <w:t>range of values. This is the default behavio</w:t>
      </w:r>
      <w:r w:rsidR="00F4350E">
        <w:t>u</w:t>
      </w:r>
      <w:r>
        <w:t>r for UEs within network coverage.</w:t>
      </w:r>
    </w:p>
    <w:p w14:paraId="7D14DFE4" w14:textId="05069CD4" w:rsidR="00114D63" w:rsidRDefault="00114D63" w:rsidP="00114D63">
      <w:pPr>
        <w:pStyle w:val="BodyText"/>
        <w:keepLines/>
        <w:numPr>
          <w:ilvl w:val="0"/>
          <w:numId w:val="34"/>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ind w:left="720"/>
        <w:textAlignment w:val="auto"/>
      </w:pPr>
      <w:r>
        <w:t xml:space="preserve">Some TX parameters are selected by the network and some </w:t>
      </w:r>
      <w:r w:rsidR="006C3B3F">
        <w:t xml:space="preserve">TX parameters are selected </w:t>
      </w:r>
      <w:r>
        <w:t xml:space="preserve">by </w:t>
      </w:r>
      <w:r w:rsidR="006C3B3F">
        <w:t xml:space="preserve">the </w:t>
      </w:r>
      <w:r>
        <w:t>UE</w:t>
      </w:r>
      <w:r w:rsidR="006C3B3F">
        <w:t xml:space="preserve"> from a set that </w:t>
      </w:r>
      <w:r w:rsidR="004A10EF">
        <w:t>is configured and approved by the RAN</w:t>
      </w:r>
      <w:r>
        <w:t xml:space="preserve">. This </w:t>
      </w:r>
      <w:r w:rsidR="00AB56B0">
        <w:t xml:space="preserve">option </w:t>
      </w:r>
      <w:r>
        <w:t xml:space="preserve">can be useful for some use cases (e.g., unicast case) and in </w:t>
      </w:r>
      <w:r w:rsidR="00AB56B0">
        <w:t xml:space="preserve">the </w:t>
      </w:r>
      <w:r>
        <w:t xml:space="preserve">case </w:t>
      </w:r>
      <w:r w:rsidR="00AB56B0">
        <w:t>when</w:t>
      </w:r>
      <w:r>
        <w:t xml:space="preserve"> </w:t>
      </w:r>
      <w:r w:rsidR="00AB56B0">
        <w:t xml:space="preserve">a </w:t>
      </w:r>
      <w:r>
        <w:t>UE operat</w:t>
      </w:r>
      <w:r w:rsidR="00AB56B0">
        <w:t>es</w:t>
      </w:r>
      <w:r>
        <w:t xml:space="preserve"> in network coverage. </w:t>
      </w:r>
    </w:p>
    <w:p w14:paraId="24DE38BF" w14:textId="6E88110C" w:rsidR="00114D63" w:rsidRDefault="00114D63" w:rsidP="00114D63">
      <w:pPr>
        <w:pStyle w:val="BodyText"/>
        <w:keepLines/>
        <w:numPr>
          <w:ilvl w:val="0"/>
          <w:numId w:val="34"/>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ind w:left="720"/>
        <w:textAlignment w:val="auto"/>
      </w:pPr>
      <w:r>
        <w:t>All TX parameters</w:t>
      </w:r>
      <w:r w:rsidR="00C40A70">
        <w:t>,</w:t>
      </w:r>
      <w:r>
        <w:t xml:space="preserve"> </w:t>
      </w:r>
      <w:r w:rsidR="00BA66DB">
        <w:t xml:space="preserve">out of a TX parameter set configured by the </w:t>
      </w:r>
      <w:r w:rsidR="00E1492C">
        <w:t>network</w:t>
      </w:r>
      <w:r w:rsidR="00C40A70">
        <w:t>,</w:t>
      </w:r>
      <w:r w:rsidR="00E1492C">
        <w:t xml:space="preserve"> </w:t>
      </w:r>
      <w:r>
        <w:t xml:space="preserve">are selected by </w:t>
      </w:r>
      <w:r w:rsidR="00AB56B0">
        <w:t xml:space="preserve">the </w:t>
      </w:r>
      <w:r>
        <w:t>transmitting UEs. Restrictions from pre-configuration or from the specification (e.g., speed-dependent transmission formats) may apply. This is the default behavio</w:t>
      </w:r>
      <w:r w:rsidR="00F47B7C">
        <w:t>u</w:t>
      </w:r>
      <w:r>
        <w:t xml:space="preserve">r for </w:t>
      </w:r>
      <w:r w:rsidR="00DD2B76">
        <w:t xml:space="preserve">UEs outside </w:t>
      </w:r>
      <w:r>
        <w:t>network coverage.</w:t>
      </w:r>
    </w:p>
    <w:p w14:paraId="7BB0F27A" w14:textId="6C8B16C5" w:rsidR="00153BBF" w:rsidRDefault="00003D92" w:rsidP="00C40A70">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pPr>
      <w:r>
        <w:t xml:space="preserve">According to </w:t>
      </w:r>
      <w:r w:rsidR="008B6CDF">
        <w:t>p</w:t>
      </w:r>
      <w:r>
        <w:t xml:space="preserve">rinciple 2 in Section 3, a UE cannot allocate </w:t>
      </w:r>
      <w:r w:rsidR="00D74D0F">
        <w:t>resources or configure TX parameters for another UE</w:t>
      </w:r>
      <w:r w:rsidR="006379FC">
        <w:t xml:space="preserve">. The implication of which is that a UE </w:t>
      </w:r>
      <w:r w:rsidR="000B66DA">
        <w:t>with no network control will always behave autonomously and</w:t>
      </w:r>
      <w:r w:rsidR="00901D58">
        <w:t xml:space="preserve"> certain rules need to be specified to achieve the overall system efficiency. </w:t>
      </w:r>
      <w:r w:rsidR="00153BBF">
        <w:t xml:space="preserve">Furthermore, coexisting unicast, groupcast and broadcast </w:t>
      </w:r>
      <w:r w:rsidR="009E1D5F">
        <w:t>transmissions (</w:t>
      </w:r>
      <w:r w:rsidR="00F17E79">
        <w:t>p</w:t>
      </w:r>
      <w:r w:rsidR="009E1D5F">
        <w:t xml:space="preserve">rinciple 3 in Section 3) mandate the need </w:t>
      </w:r>
      <w:r w:rsidR="006E0AC6">
        <w:t xml:space="preserve">of </w:t>
      </w:r>
      <w:r w:rsidR="009E1D5F">
        <w:t xml:space="preserve">radio procedures </w:t>
      </w:r>
      <w:r w:rsidR="006E0AC6">
        <w:t xml:space="preserve">and signalling to limit the interference between transmissions from different UEs. </w:t>
      </w:r>
    </w:p>
    <w:p w14:paraId="06E399D2" w14:textId="0F7B1C49" w:rsidR="00C40A70" w:rsidRPr="00D0539F" w:rsidRDefault="00C40A70" w:rsidP="00C41524">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pPr>
      <w:r>
        <w:t xml:space="preserve">The details on </w:t>
      </w:r>
      <w:r w:rsidR="005F5924">
        <w:t xml:space="preserve">the implications and their respective </w:t>
      </w:r>
      <w:r w:rsidR="00AE0031">
        <w:t>design</w:t>
      </w:r>
      <w:r>
        <w:t xml:space="preserve"> when it comes to </w:t>
      </w:r>
      <w:r w:rsidR="009F76F0">
        <w:t>resource allocation and TX parameter selection are given in our contribution [3].</w:t>
      </w:r>
    </w:p>
    <w:p w14:paraId="5300F849" w14:textId="00F8E461" w:rsidR="00C01F33" w:rsidRDefault="00C407D0" w:rsidP="00036CBC">
      <w:pPr>
        <w:pStyle w:val="Heading1"/>
      </w:pPr>
      <w:r>
        <w:t>5</w:t>
      </w:r>
      <w:r>
        <w:tab/>
      </w:r>
      <w:r w:rsidR="00C01F33" w:rsidRPr="00CE0424">
        <w:t>Conclusion</w:t>
      </w:r>
      <w:r w:rsidR="00B00306">
        <w:t>s</w:t>
      </w:r>
    </w:p>
    <w:p w14:paraId="45D6366E" w14:textId="5D954914" w:rsidR="003116BA" w:rsidRDefault="00AE0031" w:rsidP="00AE0031">
      <w:pPr>
        <w:rPr>
          <w:rFonts w:ascii="Arial" w:hAnsi="Arial"/>
          <w:lang w:eastAsia="zh-CN"/>
        </w:rPr>
      </w:pPr>
      <w:r w:rsidRPr="00C41524">
        <w:rPr>
          <w:rFonts w:ascii="Arial" w:hAnsi="Arial"/>
          <w:lang w:eastAsia="zh-CN"/>
        </w:rPr>
        <w:t>In thi</w:t>
      </w:r>
      <w:r>
        <w:rPr>
          <w:rFonts w:ascii="Arial" w:hAnsi="Arial"/>
          <w:lang w:eastAsia="zh-CN"/>
        </w:rPr>
        <w:t xml:space="preserve">s contribution, we </w:t>
      </w:r>
      <w:r w:rsidR="003116BA">
        <w:rPr>
          <w:rFonts w:ascii="Arial" w:hAnsi="Arial"/>
          <w:lang w:eastAsia="zh-CN"/>
        </w:rPr>
        <w:t>made the following observations</w:t>
      </w:r>
      <w:r w:rsidR="00947626">
        <w:rPr>
          <w:rFonts w:ascii="Arial" w:hAnsi="Arial"/>
          <w:lang w:eastAsia="zh-CN"/>
        </w:rPr>
        <w:t xml:space="preserve"> for NR sidelink design consideration:</w:t>
      </w:r>
    </w:p>
    <w:p w14:paraId="6F29C8D0" w14:textId="12BDF33E" w:rsidR="00E07987" w:rsidRDefault="00E07987">
      <w:pPr>
        <w:pStyle w:val="TOC1"/>
        <w:rPr>
          <w:rFonts w:asciiTheme="minorHAnsi" w:eastAsiaTheme="minorEastAsia" w:hAnsiTheme="minorHAnsi" w:cstheme="minorBidi"/>
          <w:b w:val="0"/>
          <w:sz w:val="22"/>
          <w:szCs w:val="22"/>
          <w:lang w:val="en-US" w:eastAsia="en-US"/>
        </w:rPr>
      </w:pPr>
      <w:r>
        <w:fldChar w:fldCharType="begin"/>
      </w:r>
      <w:r>
        <w:instrText xml:space="preserve"> TOC \n \h \z \t "Observation,1" </w:instrText>
      </w:r>
      <w:r>
        <w:fldChar w:fldCharType="separate"/>
      </w:r>
      <w:hyperlink w:anchor="_Toc521685483" w:history="1">
        <w:r w:rsidRPr="00133DA6">
          <w:rPr>
            <w:rStyle w:val="Hyperlink"/>
          </w:rPr>
          <w:t>Observation 1</w:t>
        </w:r>
        <w:r>
          <w:rPr>
            <w:rFonts w:asciiTheme="minorHAnsi" w:eastAsiaTheme="minorEastAsia" w:hAnsiTheme="minorHAnsi" w:cstheme="minorBidi"/>
            <w:b w:val="0"/>
            <w:sz w:val="22"/>
            <w:szCs w:val="22"/>
            <w:lang w:val="en-US" w:eastAsia="en-US"/>
          </w:rPr>
          <w:tab/>
        </w:r>
        <w:r w:rsidRPr="00133DA6">
          <w:rPr>
            <w:rStyle w:val="Hyperlink"/>
          </w:rPr>
          <w:t>Evolving V2X use cases and corresponding features necessitate the forward compatibility of NR sidelink design.</w:t>
        </w:r>
      </w:hyperlink>
    </w:p>
    <w:p w14:paraId="3109C023" w14:textId="77D590D2" w:rsidR="00E07987" w:rsidRDefault="00E07987">
      <w:pPr>
        <w:pStyle w:val="TOC1"/>
        <w:rPr>
          <w:rFonts w:asciiTheme="minorHAnsi" w:eastAsiaTheme="minorEastAsia" w:hAnsiTheme="minorHAnsi" w:cstheme="minorBidi"/>
          <w:b w:val="0"/>
          <w:sz w:val="22"/>
          <w:szCs w:val="22"/>
          <w:lang w:val="en-US" w:eastAsia="en-US"/>
        </w:rPr>
      </w:pPr>
      <w:hyperlink w:anchor="_Toc521685484" w:history="1">
        <w:r w:rsidRPr="00133DA6">
          <w:rPr>
            <w:rStyle w:val="Hyperlink"/>
          </w:rPr>
          <w:t>Observation 2</w:t>
        </w:r>
        <w:r>
          <w:rPr>
            <w:rFonts w:asciiTheme="minorHAnsi" w:eastAsiaTheme="minorEastAsia" w:hAnsiTheme="minorHAnsi" w:cstheme="minorBidi"/>
            <w:b w:val="0"/>
            <w:sz w:val="22"/>
            <w:szCs w:val="22"/>
            <w:lang w:val="en-US" w:eastAsia="en-US"/>
          </w:rPr>
          <w:tab/>
        </w:r>
        <w:r w:rsidRPr="00133DA6">
          <w:rPr>
            <w:rStyle w:val="Hyperlink"/>
          </w:rPr>
          <w:t>Flexible and scalable NR sidelink radio design is a key to enable diverse V2X use cases.</w:t>
        </w:r>
      </w:hyperlink>
    </w:p>
    <w:p w14:paraId="5E1CB9D5" w14:textId="4706D0A8" w:rsidR="00E07987" w:rsidRDefault="00E07987">
      <w:pPr>
        <w:pStyle w:val="TOC1"/>
        <w:rPr>
          <w:rFonts w:asciiTheme="minorHAnsi" w:eastAsiaTheme="minorEastAsia" w:hAnsiTheme="minorHAnsi" w:cstheme="minorBidi"/>
          <w:b w:val="0"/>
          <w:sz w:val="22"/>
          <w:szCs w:val="22"/>
          <w:lang w:val="en-US" w:eastAsia="en-US"/>
        </w:rPr>
      </w:pPr>
      <w:hyperlink w:anchor="_Toc521685485" w:history="1">
        <w:r w:rsidRPr="00133DA6">
          <w:rPr>
            <w:rStyle w:val="Hyperlink"/>
          </w:rPr>
          <w:t>Observation 3</w:t>
        </w:r>
        <w:r>
          <w:rPr>
            <w:rFonts w:asciiTheme="minorHAnsi" w:eastAsiaTheme="minorEastAsia" w:hAnsiTheme="minorHAnsi" w:cstheme="minorBidi"/>
            <w:b w:val="0"/>
            <w:sz w:val="22"/>
            <w:szCs w:val="22"/>
            <w:lang w:val="en-US" w:eastAsia="en-US"/>
          </w:rPr>
          <w:tab/>
        </w:r>
        <w:r w:rsidRPr="00133DA6">
          <w:rPr>
            <w:rStyle w:val="Hyperlink"/>
          </w:rPr>
          <w:t>Lessons learnt during LTE Rel-14/15 are important to justify NR sidelink design.</w:t>
        </w:r>
      </w:hyperlink>
    </w:p>
    <w:p w14:paraId="0F120649" w14:textId="19A350FD" w:rsidR="00E07987" w:rsidRDefault="00E07987">
      <w:pPr>
        <w:pStyle w:val="TOC1"/>
        <w:rPr>
          <w:rFonts w:asciiTheme="minorHAnsi" w:eastAsiaTheme="minorEastAsia" w:hAnsiTheme="minorHAnsi" w:cstheme="minorBidi"/>
          <w:b w:val="0"/>
          <w:sz w:val="22"/>
          <w:szCs w:val="22"/>
          <w:lang w:val="en-US" w:eastAsia="en-US"/>
        </w:rPr>
      </w:pPr>
      <w:hyperlink w:anchor="_Toc521685486" w:history="1">
        <w:r w:rsidRPr="00133DA6">
          <w:rPr>
            <w:rStyle w:val="Hyperlink"/>
          </w:rPr>
          <w:t>Observation 4</w:t>
        </w:r>
        <w:r>
          <w:rPr>
            <w:rFonts w:asciiTheme="minorHAnsi" w:eastAsiaTheme="minorEastAsia" w:hAnsiTheme="minorHAnsi" w:cstheme="minorBidi"/>
            <w:b w:val="0"/>
            <w:sz w:val="22"/>
            <w:szCs w:val="22"/>
            <w:lang w:val="en-US" w:eastAsia="en-US"/>
          </w:rPr>
          <w:tab/>
        </w:r>
        <w:r w:rsidRPr="00133DA6">
          <w:rPr>
            <w:rStyle w:val="Hyperlink"/>
          </w:rPr>
          <w:t>NR ultra-lean design principle is also important for sidelink.</w:t>
        </w:r>
      </w:hyperlink>
    </w:p>
    <w:p w14:paraId="6741DDDC" w14:textId="518DA980" w:rsidR="008E065E" w:rsidRPr="004428E3" w:rsidRDefault="00E07987" w:rsidP="00E07987">
      <w:pPr>
        <w:pStyle w:val="BodyText"/>
        <w:spacing w:before="240"/>
        <w:rPr>
          <w:bCs/>
        </w:rPr>
      </w:pPr>
      <w:r>
        <w:fldChar w:fldCharType="end"/>
      </w:r>
      <w:r w:rsidR="00947626">
        <w:rPr>
          <w:bCs/>
        </w:rPr>
        <w:t>Also, w</w:t>
      </w:r>
      <w:r w:rsidR="00DD2B76" w:rsidRPr="004428E3">
        <w:rPr>
          <w:bCs/>
        </w:rPr>
        <w:t>e prop</w:t>
      </w:r>
      <w:r w:rsidR="00947626">
        <w:rPr>
          <w:bCs/>
        </w:rPr>
        <w:t>o</w:t>
      </w:r>
      <w:r w:rsidR="00DD2B76" w:rsidRPr="004428E3">
        <w:rPr>
          <w:bCs/>
        </w:rPr>
        <w:t>se to adopt the following design principles for NR sidelink:</w:t>
      </w:r>
    </w:p>
    <w:p w14:paraId="7D8E5A75" w14:textId="678B3F36" w:rsidR="00E07987" w:rsidRDefault="00E07987" w:rsidP="00E07987">
      <w:pPr>
        <w:pStyle w:val="TOC1"/>
        <w:rPr>
          <w:rFonts w:asciiTheme="minorHAnsi" w:eastAsiaTheme="minorEastAsia" w:hAnsiTheme="minorHAnsi" w:cstheme="minorBidi"/>
          <w:b w:val="0"/>
          <w:sz w:val="22"/>
          <w:szCs w:val="22"/>
          <w:lang w:val="en-US" w:eastAsia="en-US"/>
        </w:rPr>
      </w:pPr>
      <w:r>
        <w:rPr>
          <w:lang w:val="en-US"/>
        </w:rPr>
        <w:lastRenderedPageBreak/>
        <w:fldChar w:fldCharType="begin"/>
      </w:r>
      <w:r>
        <w:rPr>
          <w:lang w:val="en-US"/>
        </w:rPr>
        <w:instrText xml:space="preserve"> TOC \n \h \z \t "Proposal,1" </w:instrText>
      </w:r>
      <w:r>
        <w:rPr>
          <w:lang w:val="en-US"/>
        </w:rPr>
        <w:fldChar w:fldCharType="separate"/>
      </w:r>
      <w:hyperlink w:anchor="_Toc521685526" w:history="1">
        <w:r w:rsidRPr="00747176">
          <w:rPr>
            <w:rStyle w:val="Hyperlink"/>
          </w:rPr>
          <w:t>Proposal 1</w:t>
        </w:r>
        <w:r>
          <w:rPr>
            <w:rFonts w:asciiTheme="minorHAnsi" w:eastAsiaTheme="minorEastAsia" w:hAnsiTheme="minorHAnsi" w:cstheme="minorBidi"/>
            <w:b w:val="0"/>
            <w:sz w:val="22"/>
            <w:szCs w:val="22"/>
            <w:lang w:val="en-US" w:eastAsia="en-US"/>
          </w:rPr>
          <w:tab/>
        </w:r>
        <w:r w:rsidRPr="00747176">
          <w:rPr>
            <w:rStyle w:val="Hyperlink"/>
          </w:rPr>
          <w:t>When the NR sidelink uses licensed spectrum resources, the RAN decides on the conditions under which such resources may be used. Such conditions can include transmission parameters, resource pool and time period during which the resources may be used for sidelink communication.</w:t>
        </w:r>
      </w:hyperlink>
    </w:p>
    <w:p w14:paraId="59313516" w14:textId="3D1CA097" w:rsidR="00E07987" w:rsidRDefault="00E07987" w:rsidP="00E07987">
      <w:pPr>
        <w:pStyle w:val="TOC1"/>
        <w:rPr>
          <w:rFonts w:asciiTheme="minorHAnsi" w:eastAsiaTheme="minorEastAsia" w:hAnsiTheme="minorHAnsi" w:cstheme="minorBidi"/>
          <w:b w:val="0"/>
          <w:sz w:val="22"/>
          <w:szCs w:val="22"/>
          <w:lang w:val="en-US" w:eastAsia="en-US"/>
        </w:rPr>
      </w:pPr>
      <w:hyperlink w:anchor="_Toc521685527" w:history="1">
        <w:r w:rsidRPr="00747176">
          <w:rPr>
            <w:rStyle w:val="Hyperlink"/>
          </w:rPr>
          <w:t>Proposal 2</w:t>
        </w:r>
        <w:r>
          <w:rPr>
            <w:rFonts w:asciiTheme="minorHAnsi" w:eastAsiaTheme="minorEastAsia" w:hAnsiTheme="minorHAnsi" w:cstheme="minorBidi"/>
            <w:b w:val="0"/>
            <w:sz w:val="22"/>
            <w:szCs w:val="22"/>
            <w:lang w:val="en-US" w:eastAsia="en-US"/>
          </w:rPr>
          <w:tab/>
        </w:r>
        <w:r w:rsidRPr="00747176">
          <w:rPr>
            <w:rStyle w:val="Hyperlink"/>
          </w:rPr>
          <w:t>Adopt a design principle according to which a UE cannot control another UE in the same way as a gNB controls a UE. However, a UE can expect certain behaviour (and indicate such expectation) over the sidelink from the peer UE, especially in case of unicast transmissions.</w:t>
        </w:r>
      </w:hyperlink>
    </w:p>
    <w:p w14:paraId="1AFA3690" w14:textId="6404E337" w:rsidR="001814BD" w:rsidRPr="006C277C" w:rsidRDefault="00E07987" w:rsidP="00E07987">
      <w:pPr>
        <w:pStyle w:val="TOC1"/>
      </w:pPr>
      <w:hyperlink w:anchor="_Toc521685528" w:history="1">
        <w:r w:rsidRPr="00747176">
          <w:rPr>
            <w:rStyle w:val="Hyperlink"/>
          </w:rPr>
          <w:t>Proposal 3</w:t>
        </w:r>
        <w:r>
          <w:rPr>
            <w:rFonts w:asciiTheme="minorHAnsi" w:eastAsiaTheme="minorEastAsia" w:hAnsiTheme="minorHAnsi" w:cstheme="minorBidi"/>
            <w:b w:val="0"/>
            <w:sz w:val="22"/>
            <w:szCs w:val="22"/>
            <w:lang w:val="en-US" w:eastAsia="en-US"/>
          </w:rPr>
          <w:tab/>
        </w:r>
        <w:r w:rsidRPr="00747176">
          <w:rPr>
            <w:rStyle w:val="Hyperlink"/>
          </w:rPr>
          <w:t xml:space="preserve">Coexistence of </w:t>
        </w:r>
        <w:r w:rsidRPr="00747176">
          <w:rPr>
            <w:rStyle w:val="Hyperlink"/>
            <w:lang w:val="en-US"/>
          </w:rPr>
          <w:t>unicast, groupcast and broadcast transmissions are considered.</w:t>
        </w:r>
      </w:hyperlink>
      <w:r>
        <w:rPr>
          <w:lang w:val="en-US"/>
        </w:rPr>
        <w:fldChar w:fldCharType="end"/>
      </w:r>
    </w:p>
    <w:p w14:paraId="7203AEF7" w14:textId="3D9647AC" w:rsidR="00F507D1" w:rsidRPr="00CE0424" w:rsidRDefault="00FB6B60" w:rsidP="00CE0424">
      <w:pPr>
        <w:pStyle w:val="Heading1"/>
      </w:pPr>
      <w:bookmarkStart w:id="9" w:name="_In-sequence_SDU_delivery"/>
      <w:bookmarkEnd w:id="9"/>
      <w:r>
        <w:t>6</w:t>
      </w:r>
      <w:r>
        <w:tab/>
      </w:r>
      <w:r w:rsidR="00F507D1" w:rsidRPr="00CE0424">
        <w:t>References</w:t>
      </w:r>
    </w:p>
    <w:p w14:paraId="125C3BCF" w14:textId="530E4BEA" w:rsidR="005F3025" w:rsidRPr="00CE0424" w:rsidRDefault="00245D55" w:rsidP="00311702">
      <w:pPr>
        <w:pStyle w:val="Reference"/>
      </w:pPr>
      <w:bookmarkStart w:id="10" w:name="_Ref517369951"/>
      <w:bookmarkStart w:id="11" w:name="_Ref174151459"/>
      <w:bookmarkStart w:id="12"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10"/>
    </w:p>
    <w:p w14:paraId="776F3443" w14:textId="0A99755A" w:rsidR="005F3025" w:rsidRDefault="007301FC" w:rsidP="007301FC">
      <w:pPr>
        <w:pStyle w:val="Reference"/>
      </w:pPr>
      <w:r w:rsidRPr="007301FC">
        <w:t>R1-1809302</w:t>
      </w:r>
      <w:r>
        <w:t xml:space="preserve">, </w:t>
      </w:r>
      <w:r w:rsidR="00FF50C6">
        <w:t xml:space="preserve">“Physical layer design </w:t>
      </w:r>
      <w:r w:rsidR="00CB14F0">
        <w:t xml:space="preserve">of NR </w:t>
      </w:r>
      <w:proofErr w:type="spellStart"/>
      <w:r w:rsidR="00CB14F0">
        <w:t>sidelink</w:t>
      </w:r>
      <w:proofErr w:type="spellEnd"/>
      <w:r w:rsidR="00CB14F0">
        <w:t xml:space="preserve">”, </w:t>
      </w:r>
      <w:r w:rsidR="004D1571">
        <w:t xml:space="preserve">Ericsson, </w:t>
      </w:r>
      <w:r w:rsidR="00CB14F0">
        <w:t xml:space="preserve">RAN1#94, August 2018. </w:t>
      </w:r>
      <w:r w:rsidR="00FF50C6">
        <w:t xml:space="preserve"> </w:t>
      </w:r>
    </w:p>
    <w:p w14:paraId="343A56A9" w14:textId="3F6C7878" w:rsidR="009F76F0" w:rsidRPr="00CE0424" w:rsidRDefault="007301FC" w:rsidP="007301FC">
      <w:pPr>
        <w:pStyle w:val="Reference"/>
      </w:pPr>
      <w:r w:rsidRPr="007301FC">
        <w:t>R1-1809304</w:t>
      </w:r>
      <w:r>
        <w:t>,</w:t>
      </w:r>
      <w:r w:rsidR="009F76F0">
        <w:t xml:space="preserve"> “</w:t>
      </w:r>
      <w:r w:rsidR="003D28E3">
        <w:t xml:space="preserve">Radio resource management and scheduling for NR </w:t>
      </w:r>
      <w:proofErr w:type="spellStart"/>
      <w:r w:rsidR="003D28E3">
        <w:t>sidelink</w:t>
      </w:r>
      <w:proofErr w:type="spellEnd"/>
      <w:r w:rsidR="009F76F0">
        <w:t xml:space="preserve">”, </w:t>
      </w:r>
      <w:r w:rsidR="004D1571">
        <w:t xml:space="preserve">Ericsson, </w:t>
      </w:r>
      <w:r w:rsidR="009F76F0">
        <w:t xml:space="preserve">RAN1#94, August 2018.  </w:t>
      </w:r>
    </w:p>
    <w:bookmarkEnd w:id="11"/>
    <w:bookmarkEnd w:id="12"/>
    <w:bookmarkEnd w:id="0"/>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4CCA" w14:textId="77777777" w:rsidR="00231442" w:rsidRDefault="00231442">
      <w:r>
        <w:separator/>
      </w:r>
    </w:p>
  </w:endnote>
  <w:endnote w:type="continuationSeparator" w:id="0">
    <w:p w14:paraId="5DC96254" w14:textId="77777777" w:rsidR="00231442" w:rsidRDefault="00231442">
      <w:r>
        <w:continuationSeparator/>
      </w:r>
    </w:p>
  </w:endnote>
  <w:endnote w:type="continuationNotice" w:id="1">
    <w:p w14:paraId="287E7616" w14:textId="77777777" w:rsidR="00231442" w:rsidRDefault="00231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6DF6E" w14:textId="77777777" w:rsidR="00231442" w:rsidRDefault="00231442">
      <w:r>
        <w:separator/>
      </w:r>
    </w:p>
  </w:footnote>
  <w:footnote w:type="continuationSeparator" w:id="0">
    <w:p w14:paraId="3EC390BE" w14:textId="77777777" w:rsidR="00231442" w:rsidRDefault="00231442">
      <w:r>
        <w:continuationSeparator/>
      </w:r>
    </w:p>
  </w:footnote>
  <w:footnote w:type="continuationNotice" w:id="1">
    <w:p w14:paraId="33F3CD10" w14:textId="77777777" w:rsidR="00231442" w:rsidRDefault="002314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0C8EA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30AD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C20973"/>
    <w:multiLevelType w:val="hybridMultilevel"/>
    <w:tmpl w:val="77B2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6A782E"/>
    <w:multiLevelType w:val="hybridMultilevel"/>
    <w:tmpl w:val="8852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3"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27"/>
  </w:num>
  <w:num w:numId="24">
    <w:abstractNumId w:val="28"/>
  </w:num>
  <w:num w:numId="25">
    <w:abstractNumId w:val="17"/>
  </w:num>
  <w:num w:numId="26">
    <w:abstractNumId w:val="21"/>
  </w:num>
  <w:num w:numId="27">
    <w:abstractNumId w:val="32"/>
  </w:num>
  <w:num w:numId="28">
    <w:abstractNumId w:val="3"/>
  </w:num>
  <w:num w:numId="29">
    <w:abstractNumId w:val="3"/>
  </w:num>
  <w:num w:numId="30">
    <w:abstractNumId w:val="33"/>
  </w:num>
  <w:num w:numId="31">
    <w:abstractNumId w:val="31"/>
  </w:num>
  <w:num w:numId="32">
    <w:abstractNumId w:val="5"/>
  </w:num>
  <w:num w:numId="33">
    <w:abstractNumId w:val="6"/>
  </w:num>
  <w:num w:numId="34">
    <w:abstractNumId w:val="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3D92"/>
    <w:rsid w:val="0000564C"/>
    <w:rsid w:val="00006446"/>
    <w:rsid w:val="00006896"/>
    <w:rsid w:val="00006A94"/>
    <w:rsid w:val="00007CDC"/>
    <w:rsid w:val="00011B28"/>
    <w:rsid w:val="0001225E"/>
    <w:rsid w:val="000122A3"/>
    <w:rsid w:val="00015D15"/>
    <w:rsid w:val="0002564D"/>
    <w:rsid w:val="00025ECA"/>
    <w:rsid w:val="00026104"/>
    <w:rsid w:val="00026D97"/>
    <w:rsid w:val="000325B8"/>
    <w:rsid w:val="00034C15"/>
    <w:rsid w:val="00036BA1"/>
    <w:rsid w:val="00036CBC"/>
    <w:rsid w:val="00037A28"/>
    <w:rsid w:val="000422E2"/>
    <w:rsid w:val="00042F22"/>
    <w:rsid w:val="000444EF"/>
    <w:rsid w:val="0004558A"/>
    <w:rsid w:val="000469CD"/>
    <w:rsid w:val="00052A07"/>
    <w:rsid w:val="000534E3"/>
    <w:rsid w:val="0005606A"/>
    <w:rsid w:val="00057117"/>
    <w:rsid w:val="000616E7"/>
    <w:rsid w:val="0006487E"/>
    <w:rsid w:val="00065E1A"/>
    <w:rsid w:val="00071168"/>
    <w:rsid w:val="00073E9E"/>
    <w:rsid w:val="00077E5F"/>
    <w:rsid w:val="0008036A"/>
    <w:rsid w:val="000816E1"/>
    <w:rsid w:val="00081AE6"/>
    <w:rsid w:val="000855EB"/>
    <w:rsid w:val="00085B52"/>
    <w:rsid w:val="000866F2"/>
    <w:rsid w:val="0009009F"/>
    <w:rsid w:val="00091557"/>
    <w:rsid w:val="000924C1"/>
    <w:rsid w:val="000924F0"/>
    <w:rsid w:val="00092FC3"/>
    <w:rsid w:val="00093474"/>
    <w:rsid w:val="0009487E"/>
    <w:rsid w:val="0009510F"/>
    <w:rsid w:val="000A1B7B"/>
    <w:rsid w:val="000A56F2"/>
    <w:rsid w:val="000A5952"/>
    <w:rsid w:val="000B11AA"/>
    <w:rsid w:val="000B1BC7"/>
    <w:rsid w:val="000B2719"/>
    <w:rsid w:val="000B3A8F"/>
    <w:rsid w:val="000B4AB9"/>
    <w:rsid w:val="000B58C3"/>
    <w:rsid w:val="000B61E9"/>
    <w:rsid w:val="000B66DA"/>
    <w:rsid w:val="000B7289"/>
    <w:rsid w:val="000C165A"/>
    <w:rsid w:val="000C2E19"/>
    <w:rsid w:val="000D0D07"/>
    <w:rsid w:val="000D4797"/>
    <w:rsid w:val="000E0527"/>
    <w:rsid w:val="000E1369"/>
    <w:rsid w:val="000E1E92"/>
    <w:rsid w:val="000F06D6"/>
    <w:rsid w:val="000F0EB1"/>
    <w:rsid w:val="000F1106"/>
    <w:rsid w:val="000F3BE9"/>
    <w:rsid w:val="000F3F6C"/>
    <w:rsid w:val="000F6DF3"/>
    <w:rsid w:val="001005FF"/>
    <w:rsid w:val="0010435C"/>
    <w:rsid w:val="0010616F"/>
    <w:rsid w:val="001062FB"/>
    <w:rsid w:val="001063E6"/>
    <w:rsid w:val="00110956"/>
    <w:rsid w:val="00113CF4"/>
    <w:rsid w:val="00113D3F"/>
    <w:rsid w:val="00114A6E"/>
    <w:rsid w:val="00114D63"/>
    <w:rsid w:val="001153EA"/>
    <w:rsid w:val="00115643"/>
    <w:rsid w:val="00116765"/>
    <w:rsid w:val="00120B51"/>
    <w:rsid w:val="001215CF"/>
    <w:rsid w:val="001219F5"/>
    <w:rsid w:val="00121A20"/>
    <w:rsid w:val="00123145"/>
    <w:rsid w:val="0012377F"/>
    <w:rsid w:val="00124314"/>
    <w:rsid w:val="00126B4A"/>
    <w:rsid w:val="001279C7"/>
    <w:rsid w:val="001315F3"/>
    <w:rsid w:val="00132FD0"/>
    <w:rsid w:val="001344C0"/>
    <w:rsid w:val="001346FA"/>
    <w:rsid w:val="00135252"/>
    <w:rsid w:val="00137505"/>
    <w:rsid w:val="00137AB5"/>
    <w:rsid w:val="00137F0B"/>
    <w:rsid w:val="0015006F"/>
    <w:rsid w:val="00150644"/>
    <w:rsid w:val="00151AD4"/>
    <w:rsid w:val="00151E23"/>
    <w:rsid w:val="001526E0"/>
    <w:rsid w:val="00153BBF"/>
    <w:rsid w:val="001551B5"/>
    <w:rsid w:val="0016401F"/>
    <w:rsid w:val="00164058"/>
    <w:rsid w:val="001659C1"/>
    <w:rsid w:val="00173A8E"/>
    <w:rsid w:val="00174765"/>
    <w:rsid w:val="0017502C"/>
    <w:rsid w:val="0018143F"/>
    <w:rsid w:val="001814BD"/>
    <w:rsid w:val="00181FCE"/>
    <w:rsid w:val="00181FF8"/>
    <w:rsid w:val="00187B9E"/>
    <w:rsid w:val="00190AC1"/>
    <w:rsid w:val="0019341A"/>
    <w:rsid w:val="00197DF9"/>
    <w:rsid w:val="001A1987"/>
    <w:rsid w:val="001A2564"/>
    <w:rsid w:val="001A2A06"/>
    <w:rsid w:val="001A4265"/>
    <w:rsid w:val="001A6173"/>
    <w:rsid w:val="001A6CBA"/>
    <w:rsid w:val="001A7399"/>
    <w:rsid w:val="001B0D97"/>
    <w:rsid w:val="001B5A5D"/>
    <w:rsid w:val="001C1CE5"/>
    <w:rsid w:val="001C3D2A"/>
    <w:rsid w:val="001C6854"/>
    <w:rsid w:val="001C73D9"/>
    <w:rsid w:val="001D51BA"/>
    <w:rsid w:val="001D53E7"/>
    <w:rsid w:val="001D6342"/>
    <w:rsid w:val="001D6D53"/>
    <w:rsid w:val="001E18BB"/>
    <w:rsid w:val="001E31F1"/>
    <w:rsid w:val="001E5799"/>
    <w:rsid w:val="001E58E2"/>
    <w:rsid w:val="001E7AED"/>
    <w:rsid w:val="001F3916"/>
    <w:rsid w:val="001F54C5"/>
    <w:rsid w:val="001F662C"/>
    <w:rsid w:val="001F7074"/>
    <w:rsid w:val="00200490"/>
    <w:rsid w:val="00201F3A"/>
    <w:rsid w:val="00203F96"/>
    <w:rsid w:val="00204F12"/>
    <w:rsid w:val="002069B2"/>
    <w:rsid w:val="00207FA3"/>
    <w:rsid w:val="0021106A"/>
    <w:rsid w:val="00214DA8"/>
    <w:rsid w:val="00215423"/>
    <w:rsid w:val="002158FA"/>
    <w:rsid w:val="00220600"/>
    <w:rsid w:val="002224DB"/>
    <w:rsid w:val="0022371F"/>
    <w:rsid w:val="00223C98"/>
    <w:rsid w:val="00223FCB"/>
    <w:rsid w:val="002252C3"/>
    <w:rsid w:val="00225C54"/>
    <w:rsid w:val="00230765"/>
    <w:rsid w:val="002307DE"/>
    <w:rsid w:val="00230D18"/>
    <w:rsid w:val="00231442"/>
    <w:rsid w:val="002319E4"/>
    <w:rsid w:val="00235632"/>
    <w:rsid w:val="00235872"/>
    <w:rsid w:val="00241559"/>
    <w:rsid w:val="002435B3"/>
    <w:rsid w:val="002458EB"/>
    <w:rsid w:val="00245D55"/>
    <w:rsid w:val="002500C8"/>
    <w:rsid w:val="00257543"/>
    <w:rsid w:val="0026084D"/>
    <w:rsid w:val="002617E7"/>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80A"/>
    <w:rsid w:val="00286ACD"/>
    <w:rsid w:val="00287532"/>
    <w:rsid w:val="00287838"/>
    <w:rsid w:val="002907B5"/>
    <w:rsid w:val="00292EB7"/>
    <w:rsid w:val="00294F99"/>
    <w:rsid w:val="00296227"/>
    <w:rsid w:val="00296F44"/>
    <w:rsid w:val="0029777D"/>
    <w:rsid w:val="002A055E"/>
    <w:rsid w:val="002A1796"/>
    <w:rsid w:val="002A1D4E"/>
    <w:rsid w:val="002A2869"/>
    <w:rsid w:val="002B24D6"/>
    <w:rsid w:val="002B5F73"/>
    <w:rsid w:val="002C1397"/>
    <w:rsid w:val="002C41E6"/>
    <w:rsid w:val="002D071A"/>
    <w:rsid w:val="002D22AA"/>
    <w:rsid w:val="002D34B2"/>
    <w:rsid w:val="002D48B0"/>
    <w:rsid w:val="002D5B37"/>
    <w:rsid w:val="002D6F6C"/>
    <w:rsid w:val="002D7637"/>
    <w:rsid w:val="002E17F2"/>
    <w:rsid w:val="002E6E8F"/>
    <w:rsid w:val="002E7CAE"/>
    <w:rsid w:val="002F0C37"/>
    <w:rsid w:val="002F2771"/>
    <w:rsid w:val="002F3063"/>
    <w:rsid w:val="002F3775"/>
    <w:rsid w:val="002F37A9"/>
    <w:rsid w:val="002F7DC7"/>
    <w:rsid w:val="00301CE6"/>
    <w:rsid w:val="00302525"/>
    <w:rsid w:val="0030256B"/>
    <w:rsid w:val="00303B9E"/>
    <w:rsid w:val="0030501F"/>
    <w:rsid w:val="00307BA1"/>
    <w:rsid w:val="003116BA"/>
    <w:rsid w:val="00311702"/>
    <w:rsid w:val="00311E82"/>
    <w:rsid w:val="00313435"/>
    <w:rsid w:val="00313FD6"/>
    <w:rsid w:val="003143BD"/>
    <w:rsid w:val="003147BC"/>
    <w:rsid w:val="00315363"/>
    <w:rsid w:val="003203ED"/>
    <w:rsid w:val="00322C9F"/>
    <w:rsid w:val="00324D23"/>
    <w:rsid w:val="00325B9B"/>
    <w:rsid w:val="00331751"/>
    <w:rsid w:val="00331BCD"/>
    <w:rsid w:val="00334579"/>
    <w:rsid w:val="00335858"/>
    <w:rsid w:val="00335B5B"/>
    <w:rsid w:val="00336BDA"/>
    <w:rsid w:val="00342231"/>
    <w:rsid w:val="00342BD7"/>
    <w:rsid w:val="00346672"/>
    <w:rsid w:val="00346DB5"/>
    <w:rsid w:val="003477B1"/>
    <w:rsid w:val="00357380"/>
    <w:rsid w:val="00357418"/>
    <w:rsid w:val="003602D9"/>
    <w:rsid w:val="003604CE"/>
    <w:rsid w:val="003607DA"/>
    <w:rsid w:val="00361A5D"/>
    <w:rsid w:val="00362329"/>
    <w:rsid w:val="00370E47"/>
    <w:rsid w:val="003742AC"/>
    <w:rsid w:val="00377CE1"/>
    <w:rsid w:val="00385BF0"/>
    <w:rsid w:val="003939FF"/>
    <w:rsid w:val="003A2223"/>
    <w:rsid w:val="003A254C"/>
    <w:rsid w:val="003A2A0F"/>
    <w:rsid w:val="003A45A1"/>
    <w:rsid w:val="003A5B0A"/>
    <w:rsid w:val="003A6BAC"/>
    <w:rsid w:val="003A70A4"/>
    <w:rsid w:val="003A7EF3"/>
    <w:rsid w:val="003B159C"/>
    <w:rsid w:val="003B2B3A"/>
    <w:rsid w:val="003B369F"/>
    <w:rsid w:val="003B36A3"/>
    <w:rsid w:val="003B5216"/>
    <w:rsid w:val="003B5B7B"/>
    <w:rsid w:val="003B64BB"/>
    <w:rsid w:val="003B7FE5"/>
    <w:rsid w:val="003C11C8"/>
    <w:rsid w:val="003C16A8"/>
    <w:rsid w:val="003C1A10"/>
    <w:rsid w:val="003C2702"/>
    <w:rsid w:val="003C7806"/>
    <w:rsid w:val="003D0ECE"/>
    <w:rsid w:val="003D109F"/>
    <w:rsid w:val="003D2478"/>
    <w:rsid w:val="003D28E3"/>
    <w:rsid w:val="003D3C45"/>
    <w:rsid w:val="003D5B1F"/>
    <w:rsid w:val="003D6646"/>
    <w:rsid w:val="003E15FA"/>
    <w:rsid w:val="003E4247"/>
    <w:rsid w:val="003E55E4"/>
    <w:rsid w:val="003E6E9C"/>
    <w:rsid w:val="003E74E3"/>
    <w:rsid w:val="003F05C7"/>
    <w:rsid w:val="003F2CD4"/>
    <w:rsid w:val="003F6BBE"/>
    <w:rsid w:val="004000E8"/>
    <w:rsid w:val="00402C96"/>
    <w:rsid w:val="00402E2B"/>
    <w:rsid w:val="0040512B"/>
    <w:rsid w:val="004055DD"/>
    <w:rsid w:val="00405CA5"/>
    <w:rsid w:val="00407CD3"/>
    <w:rsid w:val="00410134"/>
    <w:rsid w:val="00410B72"/>
    <w:rsid w:val="00410F18"/>
    <w:rsid w:val="0041263E"/>
    <w:rsid w:val="00413AAC"/>
    <w:rsid w:val="00413E92"/>
    <w:rsid w:val="00421105"/>
    <w:rsid w:val="00422AA4"/>
    <w:rsid w:val="004242F4"/>
    <w:rsid w:val="00424DB6"/>
    <w:rsid w:val="00427248"/>
    <w:rsid w:val="004354A7"/>
    <w:rsid w:val="00437447"/>
    <w:rsid w:val="00441A92"/>
    <w:rsid w:val="004428E3"/>
    <w:rsid w:val="004431DC"/>
    <w:rsid w:val="00444F56"/>
    <w:rsid w:val="00445F7A"/>
    <w:rsid w:val="00446488"/>
    <w:rsid w:val="004517AA"/>
    <w:rsid w:val="00452CAC"/>
    <w:rsid w:val="004530F3"/>
    <w:rsid w:val="00456883"/>
    <w:rsid w:val="00456B9E"/>
    <w:rsid w:val="00457565"/>
    <w:rsid w:val="00457B71"/>
    <w:rsid w:val="0046312E"/>
    <w:rsid w:val="004669E2"/>
    <w:rsid w:val="00467856"/>
    <w:rsid w:val="00470C31"/>
    <w:rsid w:val="00471DE0"/>
    <w:rsid w:val="00472311"/>
    <w:rsid w:val="004734D0"/>
    <w:rsid w:val="0047556B"/>
    <w:rsid w:val="00477404"/>
    <w:rsid w:val="00477768"/>
    <w:rsid w:val="00484060"/>
    <w:rsid w:val="00492BC5"/>
    <w:rsid w:val="004964F1"/>
    <w:rsid w:val="004A10EF"/>
    <w:rsid w:val="004A16BC"/>
    <w:rsid w:val="004A1AA8"/>
    <w:rsid w:val="004A2B94"/>
    <w:rsid w:val="004A2CB4"/>
    <w:rsid w:val="004A4A4D"/>
    <w:rsid w:val="004A514D"/>
    <w:rsid w:val="004B0799"/>
    <w:rsid w:val="004B5837"/>
    <w:rsid w:val="004B64AE"/>
    <w:rsid w:val="004B6F6A"/>
    <w:rsid w:val="004B7C0C"/>
    <w:rsid w:val="004C3898"/>
    <w:rsid w:val="004C5F6B"/>
    <w:rsid w:val="004D1571"/>
    <w:rsid w:val="004D28AB"/>
    <w:rsid w:val="004D2F29"/>
    <w:rsid w:val="004D36B1"/>
    <w:rsid w:val="004D7EBD"/>
    <w:rsid w:val="004E2680"/>
    <w:rsid w:val="004E28F9"/>
    <w:rsid w:val="004E462E"/>
    <w:rsid w:val="004E4F75"/>
    <w:rsid w:val="004E56DC"/>
    <w:rsid w:val="004E76F4"/>
    <w:rsid w:val="004F0B4E"/>
    <w:rsid w:val="004F0B6C"/>
    <w:rsid w:val="004F2078"/>
    <w:rsid w:val="004F4DA3"/>
    <w:rsid w:val="00503361"/>
    <w:rsid w:val="00506557"/>
    <w:rsid w:val="0050677A"/>
    <w:rsid w:val="005108D8"/>
    <w:rsid w:val="005116F9"/>
    <w:rsid w:val="005153A7"/>
    <w:rsid w:val="005219CF"/>
    <w:rsid w:val="005252D8"/>
    <w:rsid w:val="0053398E"/>
    <w:rsid w:val="00534B59"/>
    <w:rsid w:val="00536759"/>
    <w:rsid w:val="00537C62"/>
    <w:rsid w:val="00546590"/>
    <w:rsid w:val="00546970"/>
    <w:rsid w:val="00554E19"/>
    <w:rsid w:val="0055555F"/>
    <w:rsid w:val="00555B5D"/>
    <w:rsid w:val="0056026C"/>
    <w:rsid w:val="0056121F"/>
    <w:rsid w:val="00571628"/>
    <w:rsid w:val="00572505"/>
    <w:rsid w:val="00582809"/>
    <w:rsid w:val="00586345"/>
    <w:rsid w:val="0058798C"/>
    <w:rsid w:val="005900FA"/>
    <w:rsid w:val="005915C3"/>
    <w:rsid w:val="005935A4"/>
    <w:rsid w:val="005948C2"/>
    <w:rsid w:val="00595DCA"/>
    <w:rsid w:val="0059779B"/>
    <w:rsid w:val="005A209A"/>
    <w:rsid w:val="005A30F7"/>
    <w:rsid w:val="005A662D"/>
    <w:rsid w:val="005A7E76"/>
    <w:rsid w:val="005B05DA"/>
    <w:rsid w:val="005B1409"/>
    <w:rsid w:val="005B35D7"/>
    <w:rsid w:val="005B386F"/>
    <w:rsid w:val="005B392A"/>
    <w:rsid w:val="005B3AA3"/>
    <w:rsid w:val="005B58E8"/>
    <w:rsid w:val="005B6F83"/>
    <w:rsid w:val="005B77C6"/>
    <w:rsid w:val="005C6375"/>
    <w:rsid w:val="005C74FB"/>
    <w:rsid w:val="005C78B1"/>
    <w:rsid w:val="005C79F9"/>
    <w:rsid w:val="005D099F"/>
    <w:rsid w:val="005D1602"/>
    <w:rsid w:val="005E385F"/>
    <w:rsid w:val="005E5B81"/>
    <w:rsid w:val="005F2CB1"/>
    <w:rsid w:val="005F2CEA"/>
    <w:rsid w:val="005F3025"/>
    <w:rsid w:val="005F48C2"/>
    <w:rsid w:val="005F5924"/>
    <w:rsid w:val="005F618C"/>
    <w:rsid w:val="005F70BD"/>
    <w:rsid w:val="00601ACB"/>
    <w:rsid w:val="0060283C"/>
    <w:rsid w:val="00604F14"/>
    <w:rsid w:val="00606BAC"/>
    <w:rsid w:val="00611B83"/>
    <w:rsid w:val="00613257"/>
    <w:rsid w:val="00616982"/>
    <w:rsid w:val="00620A71"/>
    <w:rsid w:val="00620D80"/>
    <w:rsid w:val="006234A6"/>
    <w:rsid w:val="00625153"/>
    <w:rsid w:val="006257D9"/>
    <w:rsid w:val="00630001"/>
    <w:rsid w:val="006311B3"/>
    <w:rsid w:val="0063284C"/>
    <w:rsid w:val="006336A5"/>
    <w:rsid w:val="0063431F"/>
    <w:rsid w:val="00635B02"/>
    <w:rsid w:val="00636398"/>
    <w:rsid w:val="006368D3"/>
    <w:rsid w:val="006377EC"/>
    <w:rsid w:val="006379FC"/>
    <w:rsid w:val="0064151F"/>
    <w:rsid w:val="00641533"/>
    <w:rsid w:val="0064208D"/>
    <w:rsid w:val="00643475"/>
    <w:rsid w:val="0064396A"/>
    <w:rsid w:val="00643CCB"/>
    <w:rsid w:val="0064624E"/>
    <w:rsid w:val="00650AB9"/>
    <w:rsid w:val="006511EB"/>
    <w:rsid w:val="00655733"/>
    <w:rsid w:val="00655ACD"/>
    <w:rsid w:val="00656A92"/>
    <w:rsid w:val="00656DDE"/>
    <w:rsid w:val="0066011D"/>
    <w:rsid w:val="006607C0"/>
    <w:rsid w:val="006613A6"/>
    <w:rsid w:val="006627A2"/>
    <w:rsid w:val="00663263"/>
    <w:rsid w:val="006634E6"/>
    <w:rsid w:val="00663589"/>
    <w:rsid w:val="006655EE"/>
    <w:rsid w:val="00667EE7"/>
    <w:rsid w:val="00670922"/>
    <w:rsid w:val="00670BE1"/>
    <w:rsid w:val="0067218F"/>
    <w:rsid w:val="006741F2"/>
    <w:rsid w:val="00674CC3"/>
    <w:rsid w:val="00675C72"/>
    <w:rsid w:val="006771F9"/>
    <w:rsid w:val="006776D7"/>
    <w:rsid w:val="00681003"/>
    <w:rsid w:val="006817C9"/>
    <w:rsid w:val="00683ECE"/>
    <w:rsid w:val="006862A8"/>
    <w:rsid w:val="0069438B"/>
    <w:rsid w:val="00694639"/>
    <w:rsid w:val="00695FC2"/>
    <w:rsid w:val="00696949"/>
    <w:rsid w:val="00697052"/>
    <w:rsid w:val="006A46FB"/>
    <w:rsid w:val="006A5E28"/>
    <w:rsid w:val="006A697B"/>
    <w:rsid w:val="006A6F5E"/>
    <w:rsid w:val="006A7AFF"/>
    <w:rsid w:val="006B1816"/>
    <w:rsid w:val="006B2099"/>
    <w:rsid w:val="006B50CF"/>
    <w:rsid w:val="006B52F1"/>
    <w:rsid w:val="006B6310"/>
    <w:rsid w:val="006B73EA"/>
    <w:rsid w:val="006C03B8"/>
    <w:rsid w:val="006C08A5"/>
    <w:rsid w:val="006C116D"/>
    <w:rsid w:val="006C277C"/>
    <w:rsid w:val="006C2978"/>
    <w:rsid w:val="006C3B3F"/>
    <w:rsid w:val="006C5EC9"/>
    <w:rsid w:val="006C6059"/>
    <w:rsid w:val="006C7522"/>
    <w:rsid w:val="006D1CA6"/>
    <w:rsid w:val="006D6F08"/>
    <w:rsid w:val="006E062C"/>
    <w:rsid w:val="006E0AC6"/>
    <w:rsid w:val="006E1C82"/>
    <w:rsid w:val="006E1CD1"/>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615"/>
    <w:rsid w:val="0072070E"/>
    <w:rsid w:val="007224ED"/>
    <w:rsid w:val="007257D0"/>
    <w:rsid w:val="00726EA6"/>
    <w:rsid w:val="00727208"/>
    <w:rsid w:val="00727680"/>
    <w:rsid w:val="007301FC"/>
    <w:rsid w:val="007306C2"/>
    <w:rsid w:val="007348B1"/>
    <w:rsid w:val="007362A6"/>
    <w:rsid w:val="00736D7D"/>
    <w:rsid w:val="00740E58"/>
    <w:rsid w:val="007420A3"/>
    <w:rsid w:val="007445A0"/>
    <w:rsid w:val="0074524B"/>
    <w:rsid w:val="007465D1"/>
    <w:rsid w:val="00747D8B"/>
    <w:rsid w:val="00751228"/>
    <w:rsid w:val="0075172B"/>
    <w:rsid w:val="007571E1"/>
    <w:rsid w:val="00760329"/>
    <w:rsid w:val="007604B2"/>
    <w:rsid w:val="00765281"/>
    <w:rsid w:val="00766BAD"/>
    <w:rsid w:val="007729A2"/>
    <w:rsid w:val="007749B3"/>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5B5"/>
    <w:rsid w:val="007A58A6"/>
    <w:rsid w:val="007B383B"/>
    <w:rsid w:val="007B3D2D"/>
    <w:rsid w:val="007B50AE"/>
    <w:rsid w:val="007B51DF"/>
    <w:rsid w:val="007C05DD"/>
    <w:rsid w:val="007C29B4"/>
    <w:rsid w:val="007C3D18"/>
    <w:rsid w:val="007C53BA"/>
    <w:rsid w:val="007C5C70"/>
    <w:rsid w:val="007C60BF"/>
    <w:rsid w:val="007C6A07"/>
    <w:rsid w:val="007C75A1"/>
    <w:rsid w:val="007C77A5"/>
    <w:rsid w:val="007D04E5"/>
    <w:rsid w:val="007D5901"/>
    <w:rsid w:val="007D5C12"/>
    <w:rsid w:val="007D7526"/>
    <w:rsid w:val="007E07A5"/>
    <w:rsid w:val="007E4610"/>
    <w:rsid w:val="007E4715"/>
    <w:rsid w:val="007E505B"/>
    <w:rsid w:val="007E7091"/>
    <w:rsid w:val="007F7E00"/>
    <w:rsid w:val="00800F8F"/>
    <w:rsid w:val="00803FAE"/>
    <w:rsid w:val="0080605F"/>
    <w:rsid w:val="00807786"/>
    <w:rsid w:val="00811FCB"/>
    <w:rsid w:val="00814666"/>
    <w:rsid w:val="008154B0"/>
    <w:rsid w:val="008158D6"/>
    <w:rsid w:val="00817196"/>
    <w:rsid w:val="008235DB"/>
    <w:rsid w:val="00824AB4"/>
    <w:rsid w:val="00825C42"/>
    <w:rsid w:val="00825D25"/>
    <w:rsid w:val="00827D6F"/>
    <w:rsid w:val="00834D79"/>
    <w:rsid w:val="00835F53"/>
    <w:rsid w:val="008376AC"/>
    <w:rsid w:val="00843099"/>
    <w:rsid w:val="008444E8"/>
    <w:rsid w:val="00844E80"/>
    <w:rsid w:val="00846FE7"/>
    <w:rsid w:val="00847D45"/>
    <w:rsid w:val="00856911"/>
    <w:rsid w:val="008677FD"/>
    <w:rsid w:val="008706D4"/>
    <w:rsid w:val="00870F8A"/>
    <w:rsid w:val="008719A4"/>
    <w:rsid w:val="00871D23"/>
    <w:rsid w:val="008733BF"/>
    <w:rsid w:val="00874312"/>
    <w:rsid w:val="0087437C"/>
    <w:rsid w:val="00874636"/>
    <w:rsid w:val="008751ED"/>
    <w:rsid w:val="00875CD7"/>
    <w:rsid w:val="00876B4D"/>
    <w:rsid w:val="00877F18"/>
    <w:rsid w:val="00880003"/>
    <w:rsid w:val="00890065"/>
    <w:rsid w:val="00892319"/>
    <w:rsid w:val="008941E3"/>
    <w:rsid w:val="00894A88"/>
    <w:rsid w:val="00895386"/>
    <w:rsid w:val="008954B3"/>
    <w:rsid w:val="008A21FF"/>
    <w:rsid w:val="008A2CE2"/>
    <w:rsid w:val="008A30AC"/>
    <w:rsid w:val="008A3F42"/>
    <w:rsid w:val="008A44B8"/>
    <w:rsid w:val="008A51A8"/>
    <w:rsid w:val="008A54C7"/>
    <w:rsid w:val="008A77D8"/>
    <w:rsid w:val="008B0483"/>
    <w:rsid w:val="008B120C"/>
    <w:rsid w:val="008B2CE2"/>
    <w:rsid w:val="008B51A0"/>
    <w:rsid w:val="008B592A"/>
    <w:rsid w:val="008B6CDF"/>
    <w:rsid w:val="008B7B5C"/>
    <w:rsid w:val="008C0C99"/>
    <w:rsid w:val="008C2017"/>
    <w:rsid w:val="008C4958"/>
    <w:rsid w:val="008C4BAA"/>
    <w:rsid w:val="008C6AE8"/>
    <w:rsid w:val="008C7573"/>
    <w:rsid w:val="008D00A5"/>
    <w:rsid w:val="008D34F1"/>
    <w:rsid w:val="008D39D8"/>
    <w:rsid w:val="008D6D1A"/>
    <w:rsid w:val="008E065E"/>
    <w:rsid w:val="008E07C1"/>
    <w:rsid w:val="008E0927"/>
    <w:rsid w:val="008E0A05"/>
    <w:rsid w:val="008E152B"/>
    <w:rsid w:val="008E1909"/>
    <w:rsid w:val="008E4A60"/>
    <w:rsid w:val="008F0CF3"/>
    <w:rsid w:val="008F1C4E"/>
    <w:rsid w:val="008F1EAB"/>
    <w:rsid w:val="008F33DC"/>
    <w:rsid w:val="008F477F"/>
    <w:rsid w:val="00901D58"/>
    <w:rsid w:val="00902350"/>
    <w:rsid w:val="0090336B"/>
    <w:rsid w:val="00903A60"/>
    <w:rsid w:val="00904C20"/>
    <w:rsid w:val="009053AA"/>
    <w:rsid w:val="00906939"/>
    <w:rsid w:val="00910B7D"/>
    <w:rsid w:val="00911DFB"/>
    <w:rsid w:val="009139D9"/>
    <w:rsid w:val="00914AD8"/>
    <w:rsid w:val="0091523E"/>
    <w:rsid w:val="00916079"/>
    <w:rsid w:val="00917CE9"/>
    <w:rsid w:val="00920BF2"/>
    <w:rsid w:val="00922010"/>
    <w:rsid w:val="00931BD9"/>
    <w:rsid w:val="009368F3"/>
    <w:rsid w:val="00937A49"/>
    <w:rsid w:val="00941636"/>
    <w:rsid w:val="0094372C"/>
    <w:rsid w:val="00943742"/>
    <w:rsid w:val="00944B46"/>
    <w:rsid w:val="00945C05"/>
    <w:rsid w:val="00946945"/>
    <w:rsid w:val="00947626"/>
    <w:rsid w:val="00947713"/>
    <w:rsid w:val="00950DE7"/>
    <w:rsid w:val="00953592"/>
    <w:rsid w:val="00953920"/>
    <w:rsid w:val="00953A93"/>
    <w:rsid w:val="00953D47"/>
    <w:rsid w:val="0095681E"/>
    <w:rsid w:val="009571F4"/>
    <w:rsid w:val="009572D4"/>
    <w:rsid w:val="00961921"/>
    <w:rsid w:val="00961B7E"/>
    <w:rsid w:val="009632B7"/>
    <w:rsid w:val="0096430A"/>
    <w:rsid w:val="00964E48"/>
    <w:rsid w:val="0096554B"/>
    <w:rsid w:val="0096584A"/>
    <w:rsid w:val="00971638"/>
    <w:rsid w:val="00971F08"/>
    <w:rsid w:val="0097603D"/>
    <w:rsid w:val="00976949"/>
    <w:rsid w:val="00980477"/>
    <w:rsid w:val="00985253"/>
    <w:rsid w:val="009853B3"/>
    <w:rsid w:val="00987E3F"/>
    <w:rsid w:val="00990630"/>
    <w:rsid w:val="00991208"/>
    <w:rsid w:val="00991761"/>
    <w:rsid w:val="00994DCA"/>
    <w:rsid w:val="00995394"/>
    <w:rsid w:val="0099539F"/>
    <w:rsid w:val="009960EC"/>
    <w:rsid w:val="009970DD"/>
    <w:rsid w:val="009A0FBA"/>
    <w:rsid w:val="009A1601"/>
    <w:rsid w:val="009A1795"/>
    <w:rsid w:val="009A2E73"/>
    <w:rsid w:val="009A3BB6"/>
    <w:rsid w:val="009A462D"/>
    <w:rsid w:val="009A55B5"/>
    <w:rsid w:val="009A5C3F"/>
    <w:rsid w:val="009A5CBA"/>
    <w:rsid w:val="009A70D2"/>
    <w:rsid w:val="009B1F30"/>
    <w:rsid w:val="009B3AC2"/>
    <w:rsid w:val="009B4DF4"/>
    <w:rsid w:val="009B564E"/>
    <w:rsid w:val="009B7E87"/>
    <w:rsid w:val="009C0169"/>
    <w:rsid w:val="009C403E"/>
    <w:rsid w:val="009C7EA9"/>
    <w:rsid w:val="009D4FF0"/>
    <w:rsid w:val="009D703C"/>
    <w:rsid w:val="009D718F"/>
    <w:rsid w:val="009E068F"/>
    <w:rsid w:val="009E0A2F"/>
    <w:rsid w:val="009E14E0"/>
    <w:rsid w:val="009E1D5F"/>
    <w:rsid w:val="009E35DB"/>
    <w:rsid w:val="009E47A3"/>
    <w:rsid w:val="009E5E1C"/>
    <w:rsid w:val="009F08F3"/>
    <w:rsid w:val="009F2CC7"/>
    <w:rsid w:val="009F344F"/>
    <w:rsid w:val="009F76F0"/>
    <w:rsid w:val="00A031D8"/>
    <w:rsid w:val="00A040E0"/>
    <w:rsid w:val="00A048A8"/>
    <w:rsid w:val="00A04F49"/>
    <w:rsid w:val="00A13E54"/>
    <w:rsid w:val="00A16207"/>
    <w:rsid w:val="00A16255"/>
    <w:rsid w:val="00A17F63"/>
    <w:rsid w:val="00A2193B"/>
    <w:rsid w:val="00A2351A"/>
    <w:rsid w:val="00A264A9"/>
    <w:rsid w:val="00A26DCF"/>
    <w:rsid w:val="00A27785"/>
    <w:rsid w:val="00A30187"/>
    <w:rsid w:val="00A3448A"/>
    <w:rsid w:val="00A35CE5"/>
    <w:rsid w:val="00A36297"/>
    <w:rsid w:val="00A364CC"/>
    <w:rsid w:val="00A41E2B"/>
    <w:rsid w:val="00A42FCE"/>
    <w:rsid w:val="00A44E57"/>
    <w:rsid w:val="00A45885"/>
    <w:rsid w:val="00A45B74"/>
    <w:rsid w:val="00A47B97"/>
    <w:rsid w:val="00A52E1D"/>
    <w:rsid w:val="00A533D7"/>
    <w:rsid w:val="00A57B00"/>
    <w:rsid w:val="00A61499"/>
    <w:rsid w:val="00A62483"/>
    <w:rsid w:val="00A62A77"/>
    <w:rsid w:val="00A63483"/>
    <w:rsid w:val="00A657D7"/>
    <w:rsid w:val="00A660AC"/>
    <w:rsid w:val="00A6634F"/>
    <w:rsid w:val="00A67E6C"/>
    <w:rsid w:val="00A71B99"/>
    <w:rsid w:val="00A739D0"/>
    <w:rsid w:val="00A761D4"/>
    <w:rsid w:val="00A77EC4"/>
    <w:rsid w:val="00A80293"/>
    <w:rsid w:val="00A92879"/>
    <w:rsid w:val="00A92963"/>
    <w:rsid w:val="00A93788"/>
    <w:rsid w:val="00A9442A"/>
    <w:rsid w:val="00A964E6"/>
    <w:rsid w:val="00AA016F"/>
    <w:rsid w:val="00AA1ED6"/>
    <w:rsid w:val="00AA51D6"/>
    <w:rsid w:val="00AB0BC8"/>
    <w:rsid w:val="00AB11CA"/>
    <w:rsid w:val="00AB14D9"/>
    <w:rsid w:val="00AB4AB8"/>
    <w:rsid w:val="00AB5023"/>
    <w:rsid w:val="00AB56B0"/>
    <w:rsid w:val="00AB655E"/>
    <w:rsid w:val="00AB75A6"/>
    <w:rsid w:val="00AC007F"/>
    <w:rsid w:val="00AC2ECD"/>
    <w:rsid w:val="00AC3119"/>
    <w:rsid w:val="00AC49FB"/>
    <w:rsid w:val="00AC5A10"/>
    <w:rsid w:val="00AD0AA3"/>
    <w:rsid w:val="00AD2ED0"/>
    <w:rsid w:val="00AD3F94"/>
    <w:rsid w:val="00AD4A5A"/>
    <w:rsid w:val="00AE0031"/>
    <w:rsid w:val="00AE27AC"/>
    <w:rsid w:val="00AE40E0"/>
    <w:rsid w:val="00AE4DBA"/>
    <w:rsid w:val="00AE4F07"/>
    <w:rsid w:val="00AE6068"/>
    <w:rsid w:val="00AE6252"/>
    <w:rsid w:val="00AF1C5D"/>
    <w:rsid w:val="00AF42D7"/>
    <w:rsid w:val="00B00306"/>
    <w:rsid w:val="00B006FE"/>
    <w:rsid w:val="00B007CB"/>
    <w:rsid w:val="00B010AC"/>
    <w:rsid w:val="00B02AA9"/>
    <w:rsid w:val="00B02FA3"/>
    <w:rsid w:val="00B05084"/>
    <w:rsid w:val="00B05FE6"/>
    <w:rsid w:val="00B127CA"/>
    <w:rsid w:val="00B12AE4"/>
    <w:rsid w:val="00B157F9"/>
    <w:rsid w:val="00B16860"/>
    <w:rsid w:val="00B20256"/>
    <w:rsid w:val="00B20D09"/>
    <w:rsid w:val="00B2763F"/>
    <w:rsid w:val="00B27AAC"/>
    <w:rsid w:val="00B30929"/>
    <w:rsid w:val="00B33B27"/>
    <w:rsid w:val="00B372AA"/>
    <w:rsid w:val="00B40445"/>
    <w:rsid w:val="00B409E0"/>
    <w:rsid w:val="00B41888"/>
    <w:rsid w:val="00B455DA"/>
    <w:rsid w:val="00B45A52"/>
    <w:rsid w:val="00B46175"/>
    <w:rsid w:val="00B47F36"/>
    <w:rsid w:val="00B5355D"/>
    <w:rsid w:val="00B548B7"/>
    <w:rsid w:val="00B63D79"/>
    <w:rsid w:val="00B664C7"/>
    <w:rsid w:val="00B72DEA"/>
    <w:rsid w:val="00B739F6"/>
    <w:rsid w:val="00B75527"/>
    <w:rsid w:val="00B7619C"/>
    <w:rsid w:val="00B81A6C"/>
    <w:rsid w:val="00B84152"/>
    <w:rsid w:val="00B84A6D"/>
    <w:rsid w:val="00B85DE5"/>
    <w:rsid w:val="00B904B7"/>
    <w:rsid w:val="00B90F73"/>
    <w:rsid w:val="00B91820"/>
    <w:rsid w:val="00B93B59"/>
    <w:rsid w:val="00B9406A"/>
    <w:rsid w:val="00B95173"/>
    <w:rsid w:val="00B97E5A"/>
    <w:rsid w:val="00BA2280"/>
    <w:rsid w:val="00BA236C"/>
    <w:rsid w:val="00BA2A08"/>
    <w:rsid w:val="00BA56D2"/>
    <w:rsid w:val="00BA66DB"/>
    <w:rsid w:val="00BA765C"/>
    <w:rsid w:val="00BA76E0"/>
    <w:rsid w:val="00BB2A25"/>
    <w:rsid w:val="00BB2CCC"/>
    <w:rsid w:val="00BB51E9"/>
    <w:rsid w:val="00BB6651"/>
    <w:rsid w:val="00BC0FDC"/>
    <w:rsid w:val="00BC3053"/>
    <w:rsid w:val="00BC4561"/>
    <w:rsid w:val="00BC4D2E"/>
    <w:rsid w:val="00BD48AC"/>
    <w:rsid w:val="00BD5D3B"/>
    <w:rsid w:val="00BD5F1A"/>
    <w:rsid w:val="00BE1234"/>
    <w:rsid w:val="00BE2FA6"/>
    <w:rsid w:val="00BE333F"/>
    <w:rsid w:val="00BE7406"/>
    <w:rsid w:val="00BE7603"/>
    <w:rsid w:val="00BF0020"/>
    <w:rsid w:val="00BF2EFA"/>
    <w:rsid w:val="00BF3279"/>
    <w:rsid w:val="00BF74C7"/>
    <w:rsid w:val="00C015F1"/>
    <w:rsid w:val="00C01F33"/>
    <w:rsid w:val="00C0296A"/>
    <w:rsid w:val="00C02CC6"/>
    <w:rsid w:val="00C040F7"/>
    <w:rsid w:val="00C044AB"/>
    <w:rsid w:val="00C05706"/>
    <w:rsid w:val="00C07377"/>
    <w:rsid w:val="00C10478"/>
    <w:rsid w:val="00C12107"/>
    <w:rsid w:val="00C14D4B"/>
    <w:rsid w:val="00C154BB"/>
    <w:rsid w:val="00C261DB"/>
    <w:rsid w:val="00C2659E"/>
    <w:rsid w:val="00C27468"/>
    <w:rsid w:val="00C279B5"/>
    <w:rsid w:val="00C27C45"/>
    <w:rsid w:val="00C3719D"/>
    <w:rsid w:val="00C37CB2"/>
    <w:rsid w:val="00C407D0"/>
    <w:rsid w:val="00C40A70"/>
    <w:rsid w:val="00C41524"/>
    <w:rsid w:val="00C460DC"/>
    <w:rsid w:val="00C473A5"/>
    <w:rsid w:val="00C535C0"/>
    <w:rsid w:val="00C54995"/>
    <w:rsid w:val="00C54D41"/>
    <w:rsid w:val="00C569DF"/>
    <w:rsid w:val="00C60783"/>
    <w:rsid w:val="00C61949"/>
    <w:rsid w:val="00C64672"/>
    <w:rsid w:val="00C671B4"/>
    <w:rsid w:val="00C70697"/>
    <w:rsid w:val="00C72093"/>
    <w:rsid w:val="00C72EF4"/>
    <w:rsid w:val="00C744FE"/>
    <w:rsid w:val="00C75D2F"/>
    <w:rsid w:val="00C767BE"/>
    <w:rsid w:val="00C76E3C"/>
    <w:rsid w:val="00C81568"/>
    <w:rsid w:val="00C8649E"/>
    <w:rsid w:val="00C9027A"/>
    <w:rsid w:val="00C9068E"/>
    <w:rsid w:val="00C916A3"/>
    <w:rsid w:val="00C93814"/>
    <w:rsid w:val="00C93C4B"/>
    <w:rsid w:val="00C93EAF"/>
    <w:rsid w:val="00C944AB"/>
    <w:rsid w:val="00C95B40"/>
    <w:rsid w:val="00CA1ED8"/>
    <w:rsid w:val="00CA4BC9"/>
    <w:rsid w:val="00CA6292"/>
    <w:rsid w:val="00CA62D6"/>
    <w:rsid w:val="00CA6FC1"/>
    <w:rsid w:val="00CB09CE"/>
    <w:rsid w:val="00CB14F0"/>
    <w:rsid w:val="00CB1F63"/>
    <w:rsid w:val="00CB242A"/>
    <w:rsid w:val="00CB6147"/>
    <w:rsid w:val="00CB7170"/>
    <w:rsid w:val="00CC040E"/>
    <w:rsid w:val="00CC0428"/>
    <w:rsid w:val="00CC111F"/>
    <w:rsid w:val="00CC13E7"/>
    <w:rsid w:val="00CC2011"/>
    <w:rsid w:val="00CC3EA0"/>
    <w:rsid w:val="00CC62FD"/>
    <w:rsid w:val="00CC7B45"/>
    <w:rsid w:val="00CD1188"/>
    <w:rsid w:val="00CD2ED1"/>
    <w:rsid w:val="00CD337B"/>
    <w:rsid w:val="00CE0424"/>
    <w:rsid w:val="00CE0BF7"/>
    <w:rsid w:val="00CE4226"/>
    <w:rsid w:val="00CE7561"/>
    <w:rsid w:val="00CF1354"/>
    <w:rsid w:val="00CF1665"/>
    <w:rsid w:val="00CF3B1F"/>
    <w:rsid w:val="00CF3BF6"/>
    <w:rsid w:val="00CF3F6D"/>
    <w:rsid w:val="00CF625B"/>
    <w:rsid w:val="00CF650C"/>
    <w:rsid w:val="00CF687E"/>
    <w:rsid w:val="00D0349B"/>
    <w:rsid w:val="00D10249"/>
    <w:rsid w:val="00D115C3"/>
    <w:rsid w:val="00D11897"/>
    <w:rsid w:val="00D12902"/>
    <w:rsid w:val="00D13135"/>
    <w:rsid w:val="00D13E4E"/>
    <w:rsid w:val="00D20057"/>
    <w:rsid w:val="00D2099E"/>
    <w:rsid w:val="00D239A7"/>
    <w:rsid w:val="00D23F47"/>
    <w:rsid w:val="00D25EEB"/>
    <w:rsid w:val="00D27262"/>
    <w:rsid w:val="00D36E71"/>
    <w:rsid w:val="00D37D87"/>
    <w:rsid w:val="00D40B33"/>
    <w:rsid w:val="00D41013"/>
    <w:rsid w:val="00D4318F"/>
    <w:rsid w:val="00D438BF"/>
    <w:rsid w:val="00D440F8"/>
    <w:rsid w:val="00D46848"/>
    <w:rsid w:val="00D546FF"/>
    <w:rsid w:val="00D55AD5"/>
    <w:rsid w:val="00D576CA"/>
    <w:rsid w:val="00D6013B"/>
    <w:rsid w:val="00D61777"/>
    <w:rsid w:val="00D61AF5"/>
    <w:rsid w:val="00D649F4"/>
    <w:rsid w:val="00D652B5"/>
    <w:rsid w:val="00D66155"/>
    <w:rsid w:val="00D67FEC"/>
    <w:rsid w:val="00D708B0"/>
    <w:rsid w:val="00D74D0F"/>
    <w:rsid w:val="00D7789E"/>
    <w:rsid w:val="00D77B1D"/>
    <w:rsid w:val="00D8021F"/>
    <w:rsid w:val="00D80383"/>
    <w:rsid w:val="00D823C6"/>
    <w:rsid w:val="00D8327F"/>
    <w:rsid w:val="00D86CA3"/>
    <w:rsid w:val="00D871CE"/>
    <w:rsid w:val="00D90ADA"/>
    <w:rsid w:val="00D9196D"/>
    <w:rsid w:val="00D92982"/>
    <w:rsid w:val="00DA2C96"/>
    <w:rsid w:val="00DA305E"/>
    <w:rsid w:val="00DA5417"/>
    <w:rsid w:val="00DA56E8"/>
    <w:rsid w:val="00DB0A9F"/>
    <w:rsid w:val="00DB377D"/>
    <w:rsid w:val="00DC2D36"/>
    <w:rsid w:val="00DC5320"/>
    <w:rsid w:val="00DC53EF"/>
    <w:rsid w:val="00DC7014"/>
    <w:rsid w:val="00DD14D3"/>
    <w:rsid w:val="00DD2B76"/>
    <w:rsid w:val="00DE5608"/>
    <w:rsid w:val="00DE58D0"/>
    <w:rsid w:val="00DE654F"/>
    <w:rsid w:val="00DF0B6E"/>
    <w:rsid w:val="00DF15E0"/>
    <w:rsid w:val="00DF37A0"/>
    <w:rsid w:val="00DF3EAF"/>
    <w:rsid w:val="00E07987"/>
    <w:rsid w:val="00E110E7"/>
    <w:rsid w:val="00E11B20"/>
    <w:rsid w:val="00E11B62"/>
    <w:rsid w:val="00E1492C"/>
    <w:rsid w:val="00E15194"/>
    <w:rsid w:val="00E17FA2"/>
    <w:rsid w:val="00E20D59"/>
    <w:rsid w:val="00E22330"/>
    <w:rsid w:val="00E27F55"/>
    <w:rsid w:val="00E30B5A"/>
    <w:rsid w:val="00E3123D"/>
    <w:rsid w:val="00E31461"/>
    <w:rsid w:val="00E31840"/>
    <w:rsid w:val="00E31D43"/>
    <w:rsid w:val="00E32608"/>
    <w:rsid w:val="00E34188"/>
    <w:rsid w:val="00E34B6E"/>
    <w:rsid w:val="00E35559"/>
    <w:rsid w:val="00E3723A"/>
    <w:rsid w:val="00E37860"/>
    <w:rsid w:val="00E43FCB"/>
    <w:rsid w:val="00E446F1"/>
    <w:rsid w:val="00E46886"/>
    <w:rsid w:val="00E47AEF"/>
    <w:rsid w:val="00E53B75"/>
    <w:rsid w:val="00E54E3B"/>
    <w:rsid w:val="00E57565"/>
    <w:rsid w:val="00E63838"/>
    <w:rsid w:val="00E63B18"/>
    <w:rsid w:val="00E64434"/>
    <w:rsid w:val="00E67C51"/>
    <w:rsid w:val="00E72EFC"/>
    <w:rsid w:val="00E74338"/>
    <w:rsid w:val="00E7479C"/>
    <w:rsid w:val="00E758EC"/>
    <w:rsid w:val="00E8234C"/>
    <w:rsid w:val="00E83AA9"/>
    <w:rsid w:val="00E85928"/>
    <w:rsid w:val="00E87822"/>
    <w:rsid w:val="00E87D43"/>
    <w:rsid w:val="00E90395"/>
    <w:rsid w:val="00E90E49"/>
    <w:rsid w:val="00E917F9"/>
    <w:rsid w:val="00E9291C"/>
    <w:rsid w:val="00E93FFE"/>
    <w:rsid w:val="00E94F8A"/>
    <w:rsid w:val="00EA67B6"/>
    <w:rsid w:val="00EA6CC2"/>
    <w:rsid w:val="00EA7A41"/>
    <w:rsid w:val="00EB0516"/>
    <w:rsid w:val="00EB077B"/>
    <w:rsid w:val="00EB4EA2"/>
    <w:rsid w:val="00EC24D5"/>
    <w:rsid w:val="00EC27C6"/>
    <w:rsid w:val="00EC4207"/>
    <w:rsid w:val="00EC5653"/>
    <w:rsid w:val="00EC71CE"/>
    <w:rsid w:val="00ED1006"/>
    <w:rsid w:val="00ED39EE"/>
    <w:rsid w:val="00ED49E0"/>
    <w:rsid w:val="00EE13F3"/>
    <w:rsid w:val="00EE3219"/>
    <w:rsid w:val="00EE7329"/>
    <w:rsid w:val="00EF067D"/>
    <w:rsid w:val="00EF18FE"/>
    <w:rsid w:val="00EF5787"/>
    <w:rsid w:val="00EF60D0"/>
    <w:rsid w:val="00EF77BE"/>
    <w:rsid w:val="00F001EC"/>
    <w:rsid w:val="00F00D91"/>
    <w:rsid w:val="00F01C00"/>
    <w:rsid w:val="00F01D00"/>
    <w:rsid w:val="00F0528D"/>
    <w:rsid w:val="00F052A1"/>
    <w:rsid w:val="00F06C67"/>
    <w:rsid w:val="00F06DFD"/>
    <w:rsid w:val="00F071D1"/>
    <w:rsid w:val="00F07533"/>
    <w:rsid w:val="00F10629"/>
    <w:rsid w:val="00F124C2"/>
    <w:rsid w:val="00F15FA5"/>
    <w:rsid w:val="00F1742C"/>
    <w:rsid w:val="00F17E79"/>
    <w:rsid w:val="00F209B7"/>
    <w:rsid w:val="00F2376F"/>
    <w:rsid w:val="00F243D8"/>
    <w:rsid w:val="00F30828"/>
    <w:rsid w:val="00F313D6"/>
    <w:rsid w:val="00F32559"/>
    <w:rsid w:val="00F3595F"/>
    <w:rsid w:val="00F40F0C"/>
    <w:rsid w:val="00F4200A"/>
    <w:rsid w:val="00F4350E"/>
    <w:rsid w:val="00F4766C"/>
    <w:rsid w:val="00F47B7C"/>
    <w:rsid w:val="00F505D4"/>
    <w:rsid w:val="00F5060E"/>
    <w:rsid w:val="00F507D1"/>
    <w:rsid w:val="00F5130E"/>
    <w:rsid w:val="00F519CE"/>
    <w:rsid w:val="00F51ADA"/>
    <w:rsid w:val="00F53922"/>
    <w:rsid w:val="00F55F54"/>
    <w:rsid w:val="00F60203"/>
    <w:rsid w:val="00F607C5"/>
    <w:rsid w:val="00F60DEA"/>
    <w:rsid w:val="00F622CE"/>
    <w:rsid w:val="00F6302A"/>
    <w:rsid w:val="00F63950"/>
    <w:rsid w:val="00F64C2B"/>
    <w:rsid w:val="00F651BE"/>
    <w:rsid w:val="00F65599"/>
    <w:rsid w:val="00F65D14"/>
    <w:rsid w:val="00F67F53"/>
    <w:rsid w:val="00F703BE"/>
    <w:rsid w:val="00F71F69"/>
    <w:rsid w:val="00F72B72"/>
    <w:rsid w:val="00F72E33"/>
    <w:rsid w:val="00F736D8"/>
    <w:rsid w:val="00F74BB9"/>
    <w:rsid w:val="00F75582"/>
    <w:rsid w:val="00F76EFA"/>
    <w:rsid w:val="00F804BE"/>
    <w:rsid w:val="00F817CE"/>
    <w:rsid w:val="00F8456C"/>
    <w:rsid w:val="00F8580D"/>
    <w:rsid w:val="00F859D8"/>
    <w:rsid w:val="00F868F5"/>
    <w:rsid w:val="00F9056A"/>
    <w:rsid w:val="00F90F8D"/>
    <w:rsid w:val="00F92782"/>
    <w:rsid w:val="00F92C88"/>
    <w:rsid w:val="00F93AA9"/>
    <w:rsid w:val="00F96308"/>
    <w:rsid w:val="00F96985"/>
    <w:rsid w:val="00F97838"/>
    <w:rsid w:val="00FA2BB3"/>
    <w:rsid w:val="00FA4392"/>
    <w:rsid w:val="00FB4C80"/>
    <w:rsid w:val="00FB6A6A"/>
    <w:rsid w:val="00FB6B60"/>
    <w:rsid w:val="00FC04E7"/>
    <w:rsid w:val="00FC1CD2"/>
    <w:rsid w:val="00FC3480"/>
    <w:rsid w:val="00FC5085"/>
    <w:rsid w:val="00FC7363"/>
    <w:rsid w:val="00FC7429"/>
    <w:rsid w:val="00FD07F6"/>
    <w:rsid w:val="00FD1EC8"/>
    <w:rsid w:val="00FD47ED"/>
    <w:rsid w:val="00FD74DB"/>
    <w:rsid w:val="00FD7660"/>
    <w:rsid w:val="00FE0655"/>
    <w:rsid w:val="00FE2365"/>
    <w:rsid w:val="00FE2DD0"/>
    <w:rsid w:val="00FE37D7"/>
    <w:rsid w:val="00FE4C7B"/>
    <w:rsid w:val="00FE5257"/>
    <w:rsid w:val="00FE528D"/>
    <w:rsid w:val="00FE7336"/>
    <w:rsid w:val="00FE787C"/>
    <w:rsid w:val="00FE7FD8"/>
    <w:rsid w:val="00FF442A"/>
    <w:rsid w:val="00FF45A5"/>
    <w:rsid w:val="00FF50C6"/>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E07987"/>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68876-5816-40C4-A702-D06A2D5D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1726</Words>
  <Characters>9844</Characters>
  <Application>Microsoft Office Word</Application>
  <DocSecurity>0</DocSecurity>
  <Lines>82</Lines>
  <Paragraphs>23</Paragraphs>
  <ScaleCrop>false</ScaleCrop>
  <Company/>
  <LinksUpToDate>false</LinksUpToDate>
  <CharactersWithSpaces>11547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2018-08-10T14:30:00Z</dcterms:created>
  <dcterms:modified xsi:type="dcterms:W3CDTF">2018-08-10T14:30:00Z</dcterms:modified>
  <cp:category/>
</cp:coreProperties>
</file>